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8CBB6" w14:textId="5DAF1031" w:rsidR="006A5DF1" w:rsidRPr="004D35EF" w:rsidRDefault="0086016D" w:rsidP="004D35EF">
      <w:pPr>
        <w:jc w:val="right"/>
        <w:rPr>
          <w:rFonts w:ascii="Verdana" w:hAnsi="Verdana"/>
        </w:rPr>
      </w:pPr>
      <w:r w:rsidRPr="004D35EF">
        <w:rPr>
          <w:rFonts w:ascii="Verdana" w:hAnsi="Verdana"/>
        </w:rPr>
        <w:t>Kraków</w:t>
      </w:r>
      <w:r w:rsidR="006A5DF1" w:rsidRPr="004D35EF">
        <w:rPr>
          <w:rFonts w:ascii="Verdana" w:hAnsi="Verdana"/>
        </w:rPr>
        <w:t xml:space="preserve"> dnia: </w:t>
      </w:r>
      <w:r w:rsidRPr="004D35EF">
        <w:rPr>
          <w:rFonts w:ascii="Verdana" w:hAnsi="Verdana"/>
        </w:rPr>
        <w:t>2026-11-06</w:t>
      </w:r>
    </w:p>
    <w:p w14:paraId="7BB71DD3" w14:textId="77777777" w:rsidR="0086016D" w:rsidRPr="004D35EF" w:rsidRDefault="0086016D" w:rsidP="004D35EF">
      <w:pPr>
        <w:rPr>
          <w:rFonts w:ascii="Verdana" w:hAnsi="Verdana"/>
          <w:b/>
          <w:bCs/>
        </w:rPr>
      </w:pPr>
      <w:r w:rsidRPr="004D35EF">
        <w:rPr>
          <w:rFonts w:ascii="Verdana" w:hAnsi="Verdana"/>
          <w:b/>
          <w:bCs/>
        </w:rPr>
        <w:t>Akademia Górniczo - Hutnicza</w:t>
      </w:r>
    </w:p>
    <w:p w14:paraId="10C0A5D4" w14:textId="77777777" w:rsidR="0086016D" w:rsidRPr="004D35EF" w:rsidRDefault="0086016D" w:rsidP="004D35EF">
      <w:pPr>
        <w:rPr>
          <w:rFonts w:ascii="Verdana" w:hAnsi="Verdana"/>
          <w:b/>
          <w:bCs/>
        </w:rPr>
      </w:pPr>
      <w:r w:rsidRPr="004D35EF">
        <w:rPr>
          <w:rFonts w:ascii="Verdana" w:hAnsi="Verdana"/>
          <w:b/>
          <w:bCs/>
        </w:rPr>
        <w:t>im. Stanisława Staszica w Krakowie</w:t>
      </w:r>
    </w:p>
    <w:p w14:paraId="3EDBD391" w14:textId="49A669B7" w:rsidR="006A5DF1" w:rsidRPr="004D35EF" w:rsidRDefault="0086016D" w:rsidP="004D35EF">
      <w:pPr>
        <w:rPr>
          <w:rFonts w:ascii="Verdana" w:hAnsi="Verdana"/>
          <w:b/>
          <w:bCs/>
        </w:rPr>
      </w:pPr>
      <w:r w:rsidRPr="004D35EF">
        <w:rPr>
          <w:rFonts w:ascii="Verdana" w:hAnsi="Verdana"/>
          <w:b/>
          <w:bCs/>
        </w:rPr>
        <w:t>Dział Zamówień Publicznych</w:t>
      </w:r>
    </w:p>
    <w:p w14:paraId="12504256" w14:textId="4CBDCF3E" w:rsidR="006A5DF1" w:rsidRPr="004D35EF" w:rsidRDefault="0086016D" w:rsidP="004D35EF">
      <w:pPr>
        <w:rPr>
          <w:rFonts w:ascii="Verdana" w:hAnsi="Verdana"/>
        </w:rPr>
      </w:pPr>
      <w:r w:rsidRPr="004D35EF">
        <w:rPr>
          <w:rFonts w:ascii="Verdana" w:hAnsi="Verdana"/>
        </w:rPr>
        <w:t>Al. Mickiewicza</w:t>
      </w:r>
      <w:r w:rsidR="006A5DF1" w:rsidRPr="004D35EF">
        <w:rPr>
          <w:rFonts w:ascii="Verdana" w:hAnsi="Verdana"/>
        </w:rPr>
        <w:t xml:space="preserve"> </w:t>
      </w:r>
      <w:r w:rsidRPr="004D35EF">
        <w:rPr>
          <w:rFonts w:ascii="Verdana" w:hAnsi="Verdana"/>
        </w:rPr>
        <w:t>30</w:t>
      </w:r>
    </w:p>
    <w:p w14:paraId="2C0D9CDC" w14:textId="5BE64F88" w:rsidR="006A5DF1" w:rsidRPr="004D35EF" w:rsidRDefault="0086016D" w:rsidP="004D35EF">
      <w:pPr>
        <w:rPr>
          <w:rFonts w:ascii="Verdana" w:hAnsi="Verdana"/>
        </w:rPr>
      </w:pPr>
      <w:r w:rsidRPr="004D35EF">
        <w:rPr>
          <w:rFonts w:ascii="Verdana" w:hAnsi="Verdana"/>
        </w:rPr>
        <w:t>30-059</w:t>
      </w:r>
      <w:r w:rsidR="006A5DF1" w:rsidRPr="004D35EF">
        <w:rPr>
          <w:rFonts w:ascii="Verdana" w:hAnsi="Verdana"/>
        </w:rPr>
        <w:t xml:space="preserve"> </w:t>
      </w:r>
      <w:r w:rsidRPr="004D35EF">
        <w:rPr>
          <w:rFonts w:ascii="Verdana" w:hAnsi="Verdana"/>
        </w:rPr>
        <w:t>Kraków</w:t>
      </w:r>
    </w:p>
    <w:p w14:paraId="21475F91" w14:textId="3E2B3310" w:rsidR="006A5DF1" w:rsidRPr="00FC72FE" w:rsidRDefault="006A5DF1" w:rsidP="004D35EF">
      <w:pPr>
        <w:pStyle w:val="Nagwek"/>
        <w:tabs>
          <w:tab w:val="clear" w:pos="4536"/>
        </w:tabs>
        <w:rPr>
          <w:rFonts w:ascii="Verdana" w:hAnsi="Verdana"/>
        </w:rPr>
      </w:pPr>
      <w:r w:rsidRPr="00FC72FE">
        <w:rPr>
          <w:rFonts w:ascii="Verdana" w:hAnsi="Verdana"/>
        </w:rPr>
        <w:t>Pismo:</w:t>
      </w:r>
      <w:r w:rsidRPr="00FC72FE">
        <w:rPr>
          <w:rFonts w:ascii="Verdana" w:hAnsi="Verdana"/>
          <w:b/>
          <w:bCs/>
        </w:rPr>
        <w:t xml:space="preserve"> </w:t>
      </w:r>
      <w:r w:rsidR="004D35EF" w:rsidRPr="00FC72FE">
        <w:rPr>
          <w:rFonts w:ascii="Verdana" w:hAnsi="Verdana"/>
          <w:bCs/>
        </w:rPr>
        <w:t>KC-DE-zp.25.517.2026 r.</w:t>
      </w:r>
      <w:r w:rsidRPr="00FC72FE">
        <w:rPr>
          <w:rFonts w:ascii="Verdana" w:hAnsi="Verdana"/>
        </w:rPr>
        <w:tab/>
        <w:t xml:space="preserve"> </w:t>
      </w:r>
    </w:p>
    <w:p w14:paraId="4A2A07A1" w14:textId="77777777" w:rsidR="006A5DF1" w:rsidRPr="00FC72FE" w:rsidRDefault="006A5DF1" w:rsidP="004D35EF">
      <w:pPr>
        <w:pStyle w:val="Nagwek"/>
        <w:tabs>
          <w:tab w:val="clear" w:pos="4536"/>
          <w:tab w:val="clear" w:pos="9072"/>
        </w:tabs>
        <w:rPr>
          <w:rFonts w:ascii="Verdana" w:hAnsi="Verdana"/>
        </w:rPr>
      </w:pPr>
    </w:p>
    <w:p w14:paraId="4973900B" w14:textId="77777777" w:rsidR="006A5DF1" w:rsidRPr="004D35EF" w:rsidRDefault="006A5DF1" w:rsidP="004D35EF">
      <w:pPr>
        <w:tabs>
          <w:tab w:val="left" w:pos="708"/>
          <w:tab w:val="center" w:pos="4536"/>
          <w:tab w:val="right" w:pos="9072"/>
        </w:tabs>
        <w:ind w:left="5245"/>
        <w:rPr>
          <w:rFonts w:ascii="Verdana" w:hAnsi="Verdana"/>
          <w:b/>
        </w:rPr>
      </w:pPr>
      <w:r w:rsidRPr="004D35EF">
        <w:rPr>
          <w:rFonts w:ascii="Verdana" w:hAnsi="Verdana"/>
          <w:b/>
        </w:rPr>
        <w:t>WYKONAWCY</w:t>
      </w:r>
    </w:p>
    <w:p w14:paraId="7169C6B1" w14:textId="77777777" w:rsidR="006A5DF1" w:rsidRPr="004D35EF" w:rsidRDefault="006A5DF1" w:rsidP="004D35EF">
      <w:pPr>
        <w:tabs>
          <w:tab w:val="left" w:pos="708"/>
          <w:tab w:val="center" w:pos="4536"/>
          <w:tab w:val="right" w:pos="9072"/>
        </w:tabs>
        <w:ind w:left="5245"/>
        <w:rPr>
          <w:rFonts w:ascii="Verdana" w:hAnsi="Verdana"/>
        </w:rPr>
      </w:pPr>
      <w:r w:rsidRPr="004D35EF">
        <w:rPr>
          <w:rFonts w:ascii="Verdana" w:hAnsi="Verdana"/>
        </w:rPr>
        <w:t>ubiegający się o zamówienie publiczne</w:t>
      </w:r>
    </w:p>
    <w:p w14:paraId="01F86632" w14:textId="77777777" w:rsidR="006D4AB3" w:rsidRPr="004D35EF" w:rsidRDefault="006D4AB3" w:rsidP="004D35EF">
      <w:pPr>
        <w:pStyle w:val="Nagwek"/>
        <w:tabs>
          <w:tab w:val="clear" w:pos="4536"/>
        </w:tabs>
        <w:rPr>
          <w:rFonts w:ascii="Verdana" w:hAnsi="Verdana"/>
        </w:rPr>
      </w:pPr>
    </w:p>
    <w:p w14:paraId="3175433D" w14:textId="217FACDD" w:rsidR="00632C3C" w:rsidRPr="004D35EF" w:rsidRDefault="00E21B49" w:rsidP="004D35EF">
      <w:pPr>
        <w:pStyle w:val="Nagwek1"/>
        <w:spacing w:before="0" w:after="0"/>
        <w:jc w:val="center"/>
        <w:rPr>
          <w:rFonts w:ascii="Verdana" w:hAnsi="Verdana"/>
          <w:sz w:val="20"/>
        </w:rPr>
      </w:pPr>
      <w:r w:rsidRPr="004D35EF">
        <w:rPr>
          <w:rFonts w:ascii="Verdana" w:hAnsi="Verdana"/>
          <w:sz w:val="20"/>
        </w:rPr>
        <w:t>WYJAŚNIENI</w:t>
      </w:r>
      <w:r w:rsidR="00520165" w:rsidRPr="004D35EF">
        <w:rPr>
          <w:rFonts w:ascii="Verdana" w:hAnsi="Verdana"/>
          <w:sz w:val="20"/>
        </w:rPr>
        <w:t>A</w:t>
      </w:r>
      <w:r w:rsidR="00632C3C" w:rsidRPr="004D35EF">
        <w:rPr>
          <w:rFonts w:ascii="Verdana" w:hAnsi="Verdana"/>
          <w:sz w:val="20"/>
        </w:rPr>
        <w:t xml:space="preserve"> TREŚCI</w:t>
      </w:r>
      <w:r w:rsidR="0029606A" w:rsidRPr="004D35EF">
        <w:rPr>
          <w:rFonts w:ascii="Verdana" w:hAnsi="Verdana"/>
          <w:sz w:val="20"/>
        </w:rPr>
        <w:t xml:space="preserve"> SWZ</w:t>
      </w:r>
      <w:r w:rsidR="00C818F0">
        <w:rPr>
          <w:rFonts w:ascii="Verdana" w:hAnsi="Verdana"/>
          <w:sz w:val="20"/>
        </w:rPr>
        <w:t xml:space="preserve"> I ZMIANA SWZ</w:t>
      </w:r>
    </w:p>
    <w:p w14:paraId="7AA1420B" w14:textId="1A52B1AD" w:rsidR="006D4AB3" w:rsidRPr="004D35EF" w:rsidRDefault="00632C3C" w:rsidP="004D35EF">
      <w:pPr>
        <w:jc w:val="both"/>
        <w:rPr>
          <w:rFonts w:ascii="Verdana" w:hAnsi="Verdana"/>
        </w:rPr>
      </w:pPr>
      <w:r w:rsidRPr="004D35EF">
        <w:rPr>
          <w:rFonts w:ascii="Verdana" w:hAnsi="Verdana"/>
        </w:rPr>
        <w:t xml:space="preserve">Dotyczy: </w:t>
      </w:r>
      <w:r w:rsidR="006A5DF1" w:rsidRPr="004D35EF">
        <w:rPr>
          <w:rFonts w:ascii="Verdana" w:hAnsi="Verdana"/>
        </w:rPr>
        <w:t>p</w:t>
      </w:r>
      <w:r w:rsidRPr="004D35EF">
        <w:rPr>
          <w:rFonts w:ascii="Verdana" w:hAnsi="Verdana"/>
        </w:rPr>
        <w:t>ostępowani</w:t>
      </w:r>
      <w:r w:rsidR="006A5DF1" w:rsidRPr="004D35EF">
        <w:rPr>
          <w:rFonts w:ascii="Verdana" w:hAnsi="Verdana"/>
        </w:rPr>
        <w:t>a</w:t>
      </w:r>
      <w:r w:rsidRPr="004D35EF">
        <w:rPr>
          <w:rFonts w:ascii="Verdana" w:hAnsi="Verdana"/>
        </w:rPr>
        <w:t xml:space="preserve"> o udzielenie zamówienia publicznego, prowadzone</w:t>
      </w:r>
      <w:r w:rsidR="006A5DF1" w:rsidRPr="004D35EF">
        <w:rPr>
          <w:rFonts w:ascii="Verdana" w:hAnsi="Verdana"/>
        </w:rPr>
        <w:t>go</w:t>
      </w:r>
      <w:r w:rsidRPr="004D35EF">
        <w:rPr>
          <w:rFonts w:ascii="Verdana" w:hAnsi="Verdana"/>
        </w:rPr>
        <w:t xml:space="preserve"> w trybie</w:t>
      </w:r>
      <w:r w:rsidR="002C6A48" w:rsidRPr="004D35EF">
        <w:rPr>
          <w:rFonts w:ascii="Verdana" w:hAnsi="Verdana"/>
        </w:rPr>
        <w:t>:</w:t>
      </w:r>
      <w:r w:rsidRPr="004D35EF">
        <w:rPr>
          <w:rFonts w:ascii="Verdana" w:hAnsi="Verdana"/>
        </w:rPr>
        <w:t xml:space="preserve"> </w:t>
      </w:r>
      <w:r w:rsidR="0086016D" w:rsidRPr="004D35EF">
        <w:rPr>
          <w:rFonts w:ascii="Verdana" w:hAnsi="Verdana"/>
        </w:rPr>
        <w:t xml:space="preserve">Tryb podstawowy bez negocjacji - art. 275 pkt. 1 ustawy </w:t>
      </w:r>
      <w:proofErr w:type="spellStart"/>
      <w:r w:rsidR="0086016D" w:rsidRPr="004D35EF">
        <w:rPr>
          <w:rFonts w:ascii="Verdana" w:hAnsi="Verdana"/>
        </w:rPr>
        <w:t>Pzp</w:t>
      </w:r>
      <w:proofErr w:type="spellEnd"/>
      <w:r w:rsidRPr="004D35EF">
        <w:rPr>
          <w:rFonts w:ascii="Verdana" w:hAnsi="Verdana"/>
          <w:b/>
        </w:rPr>
        <w:t xml:space="preserve"> </w:t>
      </w:r>
      <w:r w:rsidR="00E715A3" w:rsidRPr="004D35EF">
        <w:rPr>
          <w:rFonts w:ascii="Verdana" w:hAnsi="Verdana"/>
          <w:bCs/>
        </w:rPr>
        <w:t>pn.</w:t>
      </w:r>
      <w:r w:rsidRPr="004D35EF">
        <w:rPr>
          <w:rFonts w:ascii="Verdana" w:hAnsi="Verdana"/>
          <w:b/>
        </w:rPr>
        <w:t xml:space="preserve"> </w:t>
      </w:r>
      <w:r w:rsidR="00E72428" w:rsidRPr="004D35EF">
        <w:rPr>
          <w:rFonts w:ascii="Verdana" w:hAnsi="Verdana"/>
          <w:bCs/>
        </w:rPr>
        <w:t>”</w:t>
      </w:r>
      <w:r w:rsidR="0086016D" w:rsidRPr="004D35EF">
        <w:rPr>
          <w:rFonts w:ascii="Verdana" w:hAnsi="Verdana"/>
          <w:b/>
          <w:bCs/>
        </w:rPr>
        <w:t>Wykonywanie bieżących remontów dachów Uczelni w kompleksie budynków AGH w Krakowie - KC-DE-zp.25.517.2026</w:t>
      </w:r>
      <w:r w:rsidR="00E72428" w:rsidRPr="004D35EF">
        <w:rPr>
          <w:rFonts w:ascii="Verdana" w:hAnsi="Verdana"/>
          <w:bCs/>
        </w:rPr>
        <w:t>”</w:t>
      </w:r>
      <w:r w:rsidRPr="004D35EF">
        <w:rPr>
          <w:rFonts w:ascii="Verdana" w:hAnsi="Verdana"/>
          <w:b/>
        </w:rPr>
        <w:t>.</w:t>
      </w:r>
    </w:p>
    <w:p w14:paraId="3400BC5B" w14:textId="77777777" w:rsidR="004D35EF" w:rsidRDefault="004D35EF" w:rsidP="004D35EF">
      <w:pPr>
        <w:jc w:val="both"/>
        <w:rPr>
          <w:rFonts w:ascii="Verdana" w:hAnsi="Verdana"/>
        </w:rPr>
      </w:pPr>
    </w:p>
    <w:p w14:paraId="176F8A66" w14:textId="79B8722A" w:rsidR="0012774F" w:rsidRPr="004D35EF" w:rsidRDefault="00520165" w:rsidP="004D35EF">
      <w:pPr>
        <w:jc w:val="both"/>
        <w:rPr>
          <w:rFonts w:ascii="Verdana" w:hAnsi="Verdana"/>
        </w:rPr>
      </w:pPr>
      <w:r w:rsidRPr="004D35EF">
        <w:rPr>
          <w:rFonts w:ascii="Verdana" w:hAnsi="Verdana"/>
        </w:rPr>
        <w:t>Zamawiający,</w:t>
      </w:r>
      <w:r w:rsidR="002C6A48" w:rsidRPr="004D35EF">
        <w:rPr>
          <w:rFonts w:ascii="Verdana" w:hAnsi="Verdana"/>
        </w:rPr>
        <w:t xml:space="preserve"> </w:t>
      </w:r>
      <w:r w:rsidRPr="004D35EF">
        <w:rPr>
          <w:rFonts w:ascii="Verdana" w:hAnsi="Verdana"/>
        </w:rPr>
        <w:t xml:space="preserve">działając na podstawie art. </w:t>
      </w:r>
      <w:r w:rsidR="00E74BC3" w:rsidRPr="004D35EF">
        <w:rPr>
          <w:rFonts w:ascii="Verdana" w:hAnsi="Verdana"/>
        </w:rPr>
        <w:t>284</w:t>
      </w:r>
      <w:r w:rsidRPr="004D35EF">
        <w:rPr>
          <w:rFonts w:ascii="Verdana" w:hAnsi="Verdana"/>
        </w:rPr>
        <w:t xml:space="preserve"> ust. </w:t>
      </w:r>
      <w:r w:rsidR="0029606A" w:rsidRPr="004D35EF">
        <w:rPr>
          <w:rFonts w:ascii="Verdana" w:hAnsi="Verdana"/>
        </w:rPr>
        <w:t>6</w:t>
      </w:r>
      <w:r w:rsidRPr="004D35EF">
        <w:rPr>
          <w:rFonts w:ascii="Verdana" w:hAnsi="Verdana"/>
        </w:rPr>
        <w:t xml:space="preserve"> ustawy z dnia </w:t>
      </w:r>
      <w:r w:rsidR="0029606A" w:rsidRPr="004D35EF">
        <w:rPr>
          <w:rFonts w:ascii="Verdana" w:hAnsi="Verdana"/>
        </w:rPr>
        <w:t>11</w:t>
      </w:r>
      <w:r w:rsidRPr="004D35EF">
        <w:rPr>
          <w:rFonts w:ascii="Verdana" w:hAnsi="Verdana"/>
        </w:rPr>
        <w:t xml:space="preserve"> </w:t>
      </w:r>
      <w:r w:rsidR="0029606A" w:rsidRPr="004D35EF">
        <w:rPr>
          <w:rFonts w:ascii="Verdana" w:hAnsi="Verdana"/>
        </w:rPr>
        <w:t xml:space="preserve">września </w:t>
      </w:r>
      <w:r w:rsidRPr="004D35EF">
        <w:rPr>
          <w:rFonts w:ascii="Verdana" w:hAnsi="Verdana"/>
        </w:rPr>
        <w:t>20</w:t>
      </w:r>
      <w:r w:rsidR="0029606A" w:rsidRPr="004D35EF">
        <w:rPr>
          <w:rFonts w:ascii="Verdana" w:hAnsi="Verdana"/>
        </w:rPr>
        <w:t>19</w:t>
      </w:r>
      <w:r w:rsidRPr="004D35EF">
        <w:rPr>
          <w:rFonts w:ascii="Verdana" w:hAnsi="Verdana"/>
        </w:rPr>
        <w:t xml:space="preserve"> r</w:t>
      </w:r>
      <w:r w:rsidR="0029606A" w:rsidRPr="004D35EF">
        <w:rPr>
          <w:rFonts w:ascii="Verdana" w:hAnsi="Verdana"/>
        </w:rPr>
        <w:t>.</w:t>
      </w:r>
      <w:r w:rsidRPr="004D35EF">
        <w:rPr>
          <w:rFonts w:ascii="Verdana" w:hAnsi="Verdana"/>
        </w:rPr>
        <w:t xml:space="preserve"> Prawo </w:t>
      </w:r>
      <w:r w:rsidR="0029606A" w:rsidRPr="004D35EF">
        <w:rPr>
          <w:rFonts w:ascii="Verdana" w:hAnsi="Verdana"/>
        </w:rPr>
        <w:t>z</w:t>
      </w:r>
      <w:r w:rsidRPr="004D35EF">
        <w:rPr>
          <w:rFonts w:ascii="Verdana" w:hAnsi="Verdana"/>
        </w:rPr>
        <w:t xml:space="preserve">amówień </w:t>
      </w:r>
      <w:r w:rsidR="0029606A" w:rsidRPr="004D35EF">
        <w:rPr>
          <w:rFonts w:ascii="Verdana" w:hAnsi="Verdana"/>
        </w:rPr>
        <w:t>p</w:t>
      </w:r>
      <w:r w:rsidRPr="004D35EF">
        <w:rPr>
          <w:rFonts w:ascii="Verdana" w:hAnsi="Verdana"/>
        </w:rPr>
        <w:t>ublicznych</w:t>
      </w:r>
      <w:r w:rsidR="00711222" w:rsidRPr="004D35EF">
        <w:rPr>
          <w:rFonts w:ascii="Verdana" w:hAnsi="Verdana"/>
        </w:rPr>
        <w:t xml:space="preserve"> </w:t>
      </w:r>
      <w:r w:rsidR="00864538" w:rsidRPr="004D35EF">
        <w:rPr>
          <w:rFonts w:ascii="Verdana" w:hAnsi="Verdana"/>
        </w:rPr>
        <w:t>(Dz.U.202</w:t>
      </w:r>
      <w:r w:rsidR="006F1520" w:rsidRPr="004D35EF">
        <w:rPr>
          <w:rFonts w:ascii="Verdana" w:hAnsi="Verdana"/>
        </w:rPr>
        <w:t>6 poz. 793</w:t>
      </w:r>
      <w:r w:rsidR="00864538" w:rsidRPr="004D35EF">
        <w:rPr>
          <w:rFonts w:ascii="Verdana" w:hAnsi="Verdana"/>
        </w:rPr>
        <w:t xml:space="preserve"> ze zm.) </w:t>
      </w:r>
      <w:r w:rsidR="00E74BC3" w:rsidRPr="004D35EF">
        <w:rPr>
          <w:rFonts w:ascii="Verdana" w:hAnsi="Verdana"/>
        </w:rPr>
        <w:t>udostępnia</w:t>
      </w:r>
      <w:r w:rsidR="00BE7BFD" w:rsidRPr="004D35EF">
        <w:rPr>
          <w:rFonts w:ascii="Verdana" w:hAnsi="Verdana"/>
        </w:rPr>
        <w:t xml:space="preserve"> poniżej treść zapytań do S</w:t>
      </w:r>
      <w:r w:rsidR="0012774F" w:rsidRPr="004D35EF">
        <w:rPr>
          <w:rFonts w:ascii="Verdana" w:hAnsi="Verdana"/>
        </w:rPr>
        <w:t>pecyfikacji Warunków Zamówienia (</w:t>
      </w:r>
      <w:r w:rsidR="0012774F" w:rsidRPr="004D35EF">
        <w:rPr>
          <w:rFonts w:ascii="Verdana" w:hAnsi="Verdana"/>
          <w:lang w:eastAsia="ar-SA"/>
        </w:rPr>
        <w:t>zwanej dalej</w:t>
      </w:r>
      <w:r w:rsidR="0012774F" w:rsidRPr="004D35EF">
        <w:rPr>
          <w:rFonts w:ascii="Verdana" w:hAnsi="Verdana"/>
          <w:b/>
          <w:lang w:eastAsia="ar-SA"/>
        </w:rPr>
        <w:t xml:space="preserve"> </w:t>
      </w:r>
      <w:r w:rsidR="0012774F" w:rsidRPr="004D35EF">
        <w:rPr>
          <w:rFonts w:ascii="Verdana" w:hAnsi="Verdana"/>
          <w:bCs/>
          <w:lang w:eastAsia="ar-SA"/>
        </w:rPr>
        <w:t>”SWZ”)</w:t>
      </w:r>
      <w:r w:rsidR="00E74BC3" w:rsidRPr="004D35EF">
        <w:rPr>
          <w:rFonts w:ascii="Verdana" w:hAnsi="Verdana"/>
          <w:bCs/>
          <w:lang w:eastAsia="ar-SA"/>
        </w:rPr>
        <w:t xml:space="preserve"> </w:t>
      </w:r>
      <w:r w:rsidR="00E74BC3" w:rsidRPr="004D35EF">
        <w:rPr>
          <w:rFonts w:ascii="Verdana" w:hAnsi="Verdana"/>
        </w:rPr>
        <w:t>wraz z wyjaśnieniami</w:t>
      </w:r>
      <w:r w:rsidR="0012774F" w:rsidRPr="004D35EF">
        <w:rPr>
          <w:rFonts w:ascii="Verdana" w:hAnsi="Verdana"/>
          <w:bCs/>
          <w:lang w:eastAsia="ar-SA"/>
        </w:rPr>
        <w:t>:</w:t>
      </w:r>
    </w:p>
    <w:p w14:paraId="767B7806" w14:textId="77777777" w:rsidR="004D35EF" w:rsidRDefault="004D35EF" w:rsidP="004D35EF">
      <w:pPr>
        <w:jc w:val="both"/>
        <w:rPr>
          <w:rFonts w:ascii="Verdana" w:eastAsia="Aptos" w:hAnsi="Verdana"/>
          <w:b/>
          <w:bCs/>
          <w:kern w:val="2"/>
          <w:lang w:eastAsia="en-US"/>
        </w:rPr>
      </w:pPr>
    </w:p>
    <w:p w14:paraId="3E0D6C49" w14:textId="2CC40188"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1</w:t>
      </w:r>
    </w:p>
    <w:p w14:paraId="23FFFC3F"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W OPZ po zdaniu „W ramach ww. zadania wykonywane będą roboty w nw. obiektach Uczelni” brak wykazu. Prosimy udostępnić kompletną listę budynków, ich adresy, wysokości, powierzchnie i rodzaje pokryć, sposób wejścia na dach oraz istniejące punkty asekuracyjne. Prosimy też wskazać obiekty objęte ochroną konserwatorską i wymagania z tego wynikające.</w:t>
      </w:r>
    </w:p>
    <w:p w14:paraId="2E7CBA8E"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020D9FDF"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informuje, że wykaz obiektów objętych zamówieniem został zamieszczony w rozdziale „Opis przedmiotu zamówienia” SWZ, bezpośrednio po zapisie: „W ramach ww. zadania wykonywane będą roboty w nw. obiektach Uczelni”. Wykaz obejmuje 83 obiekty wraz z adresami, nazwami użytkowymi, symbolami obiektów oraz rodzajami pokryć dachowych.</w:t>
      </w:r>
    </w:p>
    <w:p w14:paraId="5FBAF006" w14:textId="710A785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nie dysponuje i nie prowadzi zbiorczego wykazu wysokości budynków, powierzchni dachów, sposobów dostępu na dachy oraz lokalizacji punktów asekuracyjnych dla wszystkich obiektów objętych zamówieniem. </w:t>
      </w:r>
    </w:p>
    <w:p w14:paraId="2196F0FF"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Roboty będą realizowane sukcesywnie na podstawie zamówień wykonawczych. Szczegółowe warunki dostępu do miejsc wykonywania robót będą uzgadniane na etapie realizacji poszczególnych zleceń.</w:t>
      </w:r>
    </w:p>
    <w:p w14:paraId="36A836D0"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nie prowadzi również zbiorczego wykazu obiektów objętych ochroną konserwatorską dla potrzeb niniejszego postępowania. W przypadku zlecenia robót w obiekcie podlegającym szczególnym wymaganiom, informacje te zostaną przekazane Wykonawcy na etapie realizacji konkretnego zlecenia wykonawczego.</w:t>
      </w:r>
    </w:p>
    <w:p w14:paraId="3B75AEE9" w14:textId="77777777" w:rsidR="004D35EF" w:rsidRDefault="004D35EF" w:rsidP="004D35EF">
      <w:pPr>
        <w:jc w:val="both"/>
        <w:rPr>
          <w:rFonts w:ascii="Verdana" w:eastAsia="Aptos" w:hAnsi="Verdana"/>
          <w:b/>
          <w:bCs/>
          <w:kern w:val="2"/>
          <w:lang w:eastAsia="en-US"/>
        </w:rPr>
      </w:pPr>
    </w:p>
    <w:p w14:paraId="6E4B8AAC" w14:textId="015881BC"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2</w:t>
      </w:r>
    </w:p>
    <w:p w14:paraId="6313E2C4"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Opis zakresu w SWZ obejmuje pokrycia dachówką ceramiczną i cementową, natomiast przedmiar nie zawiera pozycji z taką wyceną. Czy zakres dachówkowy nie jest objęty tym postępowaniem, czy należy uzupełnić przedmiar? Prosimy potwierdzić kompletność 97 pozycji, w tym czterech nienumerowanych pozycji odśnieżania i usuwania lodu.</w:t>
      </w:r>
    </w:p>
    <w:p w14:paraId="0CEF63D4" w14:textId="1B46B5B8"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57DD8705" w14:textId="6D067E86"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potwierdza, że przedmiot zamówienia obejmuje również roboty związane z remontami i naprawami dachów pokrytych dachówką ceramiczną i cementową, co wynika wprost z opisu przedmiotu zamówienia zawartego w SWZ, gdzie wskazano m.in. „wykonanie pokrycia dachu dachówką ceramiczną, cementową”, a także z wykazu </w:t>
      </w:r>
      <w:r w:rsidRPr="004D35EF">
        <w:rPr>
          <w:rFonts w:ascii="Verdana" w:eastAsia="Aptos" w:hAnsi="Verdana"/>
          <w:kern w:val="2"/>
          <w:lang w:eastAsia="en-US"/>
        </w:rPr>
        <w:lastRenderedPageBreak/>
        <w:t>obiektów obejmującego budynki posiadające pokrycia dachówkowe. W związku z powyższym Zamawiający zamieszcza zaktualizowany przedmiar robót pod linkiem:</w:t>
      </w:r>
    </w:p>
    <w:p w14:paraId="6891A03C" w14:textId="77777777" w:rsidR="004D35EF" w:rsidRPr="004D35EF" w:rsidRDefault="004D35EF" w:rsidP="004D35EF">
      <w:pPr>
        <w:jc w:val="both"/>
        <w:rPr>
          <w:rFonts w:ascii="Verdana" w:eastAsia="Aptos" w:hAnsi="Verdana"/>
          <w:kern w:val="2"/>
          <w:lang w:eastAsia="en-US"/>
        </w:rPr>
      </w:pPr>
      <w:hyperlink r:id="rId7" w:history="1">
        <w:r w:rsidRPr="004D35EF">
          <w:rPr>
            <w:rFonts w:ascii="Verdana" w:eastAsia="Aptos" w:hAnsi="Verdana"/>
            <w:color w:val="467886"/>
            <w:kern w:val="2"/>
            <w:u w:val="single"/>
            <w:lang w:eastAsia="en-US"/>
          </w:rPr>
          <w:t>https://di.adm.agh.edu.pl/przetargi/dr/dp/2026/Zaktualizowany_Przedmiar_robot_Remonty_dachow-Uczelni/</w:t>
        </w:r>
      </w:hyperlink>
      <w:r w:rsidRPr="004D35EF">
        <w:rPr>
          <w:rFonts w:ascii="Verdana" w:eastAsia="Aptos" w:hAnsi="Verdana"/>
          <w:kern w:val="2"/>
          <w:lang w:eastAsia="en-US"/>
        </w:rPr>
        <w:t xml:space="preserve">, uzupełniony o pozycje związane z remontem i naprawą dachów pokrytych dachówką ceramiczną i cementową. Jednocześnie dokonano uporządkowania i uzupełnienia numeracji pozycji kosztorysowych, w tym pozycji dotyczących odśnieżania i usuwania lodu z dachów. </w:t>
      </w:r>
    </w:p>
    <w:p w14:paraId="35BCFA56"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wyjaśnia, że zaktualizowany przedmiar robót stanowi podstawę sporządzenia oferty oraz kalkulacji kosztorysu ofertowego. Zgodnie z SWZ Wykonawca zobowiązany jest do wyceny wszystkich pozycji przedmiaru robót, a brak wyceny którejkolwiek pozycji skutkować będzie odrzuceniem oferty.</w:t>
      </w:r>
    </w:p>
    <w:p w14:paraId="2DDC753B" w14:textId="77777777" w:rsidR="004D35EF" w:rsidRPr="004D35EF" w:rsidRDefault="004D35EF" w:rsidP="004D35EF">
      <w:pPr>
        <w:jc w:val="both"/>
        <w:rPr>
          <w:rFonts w:ascii="Verdana" w:eastAsia="Aptos" w:hAnsi="Verdana"/>
          <w:b/>
          <w:bCs/>
          <w:kern w:val="2"/>
          <w:lang w:eastAsia="en-US"/>
        </w:rPr>
      </w:pPr>
    </w:p>
    <w:p w14:paraId="7D8A36EA"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3</w:t>
      </w:r>
    </w:p>
    <w:p w14:paraId="3A69B116"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Prosimy potwierdzić zasady stosowania norm równoważnych dopuszczonych w OPZ: czy przy zachowaniu oznaczeń podstaw, opisów, ilości i współczynników z przedmiaru dopuszczalne są szczegółowo wykazane, uzasadnione technologicznie nakłady własne R, M, S? Prosimy wskazać podstawę naliczania </w:t>
      </w:r>
      <w:proofErr w:type="spellStart"/>
      <w:r w:rsidRPr="004D35EF">
        <w:rPr>
          <w:rFonts w:ascii="Verdana" w:eastAsia="Aptos" w:hAnsi="Verdana"/>
          <w:kern w:val="2"/>
          <w:lang w:eastAsia="en-US"/>
        </w:rPr>
        <w:t>Kp</w:t>
      </w:r>
      <w:proofErr w:type="spellEnd"/>
      <w:r w:rsidRPr="004D35EF">
        <w:rPr>
          <w:rFonts w:ascii="Verdana" w:eastAsia="Aptos" w:hAnsi="Verdana"/>
          <w:kern w:val="2"/>
          <w:lang w:eastAsia="en-US"/>
        </w:rPr>
        <w:t xml:space="preserve"> i zysku oraz potwierdzić, że CRG = CN × (1+Kp) × (1+Z) jest stawką z narzutami, bez doliczania VAT.</w:t>
      </w:r>
    </w:p>
    <w:p w14:paraId="03BB590F" w14:textId="1DEA3374"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4554538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podtrzymuje zapisy SWZ, zgodnie z którymi dopuszcza stosowanie norm równoważnych do wskazanych w przedmiarach i </w:t>
      </w:r>
      <w:proofErr w:type="spellStart"/>
      <w:r w:rsidRPr="004D35EF">
        <w:rPr>
          <w:rFonts w:ascii="Verdana" w:eastAsia="Aptos" w:hAnsi="Verdana"/>
          <w:kern w:val="2"/>
          <w:lang w:eastAsia="en-US"/>
        </w:rPr>
        <w:t>STWiORB</w:t>
      </w:r>
      <w:proofErr w:type="spellEnd"/>
      <w:r w:rsidRPr="004D35EF">
        <w:rPr>
          <w:rFonts w:ascii="Verdana" w:eastAsia="Aptos" w:hAnsi="Verdana"/>
          <w:kern w:val="2"/>
          <w:lang w:eastAsia="en-US"/>
        </w:rPr>
        <w:t>.</w:t>
      </w:r>
    </w:p>
    <w:p w14:paraId="4F15ACB9"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Kosztorys ofertowy należy sporządzić zgodnie z wymaganiami określonymi w SWZ, w szczególności z uwzględnieniem kalkulacji szczegółowej pozycji kosztorysowych, wskaźników narzutów oraz stawki roboczogodziny.</w:t>
      </w:r>
    </w:p>
    <w:p w14:paraId="0D901C03"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potwierdza, że zgodnie z SWZ:</w:t>
      </w:r>
    </w:p>
    <w:p w14:paraId="6C8F5AA8"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CRG = CN × (1 + </w:t>
      </w:r>
      <w:proofErr w:type="spellStart"/>
      <w:r w:rsidRPr="004D35EF">
        <w:rPr>
          <w:rFonts w:ascii="Verdana" w:eastAsia="Aptos" w:hAnsi="Verdana"/>
          <w:kern w:val="2"/>
          <w:lang w:eastAsia="en-US"/>
        </w:rPr>
        <w:t>Kp</w:t>
      </w:r>
      <w:proofErr w:type="spellEnd"/>
      <w:r w:rsidRPr="004D35EF">
        <w:rPr>
          <w:rFonts w:ascii="Verdana" w:eastAsia="Aptos" w:hAnsi="Verdana"/>
          <w:kern w:val="2"/>
          <w:lang w:eastAsia="en-US"/>
        </w:rPr>
        <w:t>) × (1 + Z)</w:t>
      </w:r>
    </w:p>
    <w:p w14:paraId="5295C861"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gdzie:</w:t>
      </w:r>
    </w:p>
    <w:p w14:paraId="57351A10"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CN – cena netto roboczogodziny bez narzutów,</w:t>
      </w:r>
    </w:p>
    <w:p w14:paraId="2B35B613" w14:textId="77777777" w:rsidR="004D35EF" w:rsidRPr="004D35EF" w:rsidRDefault="004D35EF" w:rsidP="004D35EF">
      <w:pPr>
        <w:jc w:val="both"/>
        <w:rPr>
          <w:rFonts w:ascii="Verdana" w:eastAsia="Aptos" w:hAnsi="Verdana"/>
          <w:kern w:val="2"/>
          <w:lang w:eastAsia="en-US"/>
        </w:rPr>
      </w:pPr>
      <w:proofErr w:type="spellStart"/>
      <w:r w:rsidRPr="004D35EF">
        <w:rPr>
          <w:rFonts w:ascii="Verdana" w:eastAsia="Aptos" w:hAnsi="Verdana"/>
          <w:kern w:val="2"/>
          <w:lang w:eastAsia="en-US"/>
        </w:rPr>
        <w:t>Kp</w:t>
      </w:r>
      <w:proofErr w:type="spellEnd"/>
      <w:r w:rsidRPr="004D35EF">
        <w:rPr>
          <w:rFonts w:ascii="Verdana" w:eastAsia="Aptos" w:hAnsi="Verdana"/>
          <w:kern w:val="2"/>
          <w:lang w:eastAsia="en-US"/>
        </w:rPr>
        <w:t xml:space="preserve"> – koszty pośrednie,</w:t>
      </w:r>
    </w:p>
    <w:p w14:paraId="4696BDB6"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 – zysk.</w:t>
      </w:r>
    </w:p>
    <w:p w14:paraId="1FF8BB8C"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Sposób kalkulacji ceny oraz uwzględnienia podatku VAT powinien być zgodny z pozostałymi postanowieniami SWZ dotyczącymi sporządzania kosztorysu ofertowego i ceny oferty.</w:t>
      </w:r>
    </w:p>
    <w:p w14:paraId="28F06A2F" w14:textId="77777777" w:rsidR="004D35EF" w:rsidRDefault="004D35EF" w:rsidP="004D35EF">
      <w:pPr>
        <w:jc w:val="both"/>
        <w:rPr>
          <w:rFonts w:ascii="Verdana" w:eastAsia="Aptos" w:hAnsi="Verdana"/>
          <w:b/>
          <w:bCs/>
          <w:kern w:val="2"/>
          <w:lang w:eastAsia="en-US"/>
        </w:rPr>
      </w:pPr>
    </w:p>
    <w:p w14:paraId="243FA7D4" w14:textId="5EDB9503"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4</w:t>
      </w:r>
    </w:p>
    <w:p w14:paraId="39162BCF"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Prosimy o orientacyjny plan liczby i wielkości zleceń, w tym minimalnej wartości pojedynczej interwencji i liczby zleceń równoległych. Czy ilości czyszczenia i odśnieżania określone w przedmiarze odnoszą się do całych 18 miesięcy, a nie do jednego cyklu? Prosimy doprecyzować sposób realizacji gwarantowanych 50% wartości umowy przy zmiennej strukturze prac.</w:t>
      </w:r>
    </w:p>
    <w:p w14:paraId="229B7C18"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41F45AAB"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Roboty będą zlecane sukcesywnie według bieżących potrzeb Zamawiającego. Zamawiający nie jest w stanie określić liczby przyszłych zleceń, ich wartości ani liczby zamówień realizowanych równolegle. </w:t>
      </w:r>
    </w:p>
    <w:p w14:paraId="56472391"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Wartość pojedynczego zlecenia nie może przekroczyć 40 000,00 zł brutto, natomiast wartość robót towarzyszących nie może przekroczyć 20% wartości danego zamówienia wykonawczego. </w:t>
      </w:r>
    </w:p>
    <w:p w14:paraId="022C5C87"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Ilości przyjęte w przedmiarze robót mają charakter szacunkowy dla całego okresu realizacji umowy i mogą ulec zmianie w zależności od potrzeb Zamawiającego</w:t>
      </w:r>
    </w:p>
    <w:p w14:paraId="7AE65B44"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gwarantuje realizację robót o wartości nie mniejszej niż 50% ceny oferty. </w:t>
      </w:r>
    </w:p>
    <w:p w14:paraId="022EBF8F" w14:textId="77777777" w:rsidR="004D35EF" w:rsidRPr="004D35EF" w:rsidRDefault="004D35EF" w:rsidP="004D35EF">
      <w:pPr>
        <w:jc w:val="both"/>
        <w:rPr>
          <w:rFonts w:ascii="Verdana" w:eastAsia="Aptos" w:hAnsi="Verdana"/>
          <w:b/>
          <w:bCs/>
          <w:kern w:val="2"/>
          <w:lang w:eastAsia="en-US"/>
        </w:rPr>
      </w:pPr>
    </w:p>
    <w:p w14:paraId="56810A48"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5</w:t>
      </w:r>
    </w:p>
    <w:p w14:paraId="2F746278"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Czy czas podnośnika z poz. 10.5 (10 m-g) i rusztowania z poz. 10.6-10.7 (60 i 20 m²) będą rozliczane odrębnie przy każdym zleceniu zgodnie z rzeczywistą potrzebą? Prosimy określić zasady rozliczenia dojazdu sprzętu, najmu, postoju, powtarzanego montażu i dostępu linowego, aby wyeliminować dublowanie kosztów lub obowiązek wkalkulowania nieokreślonego dostępu do każdej ceny jednostkowej.</w:t>
      </w:r>
    </w:p>
    <w:p w14:paraId="1EF2682B"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lastRenderedPageBreak/>
        <w:t>Odpowiedź:</w:t>
      </w:r>
    </w:p>
    <w:p w14:paraId="5492F38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Pozycje 10.5 „Czas pracy zwyżki (podnośnik koszowy)” oraz 10.6-10.7 dotyczące rusztowań stanowią odrębne pozycje kosztorysu ofertowego i podlegają wycenie przez Wykonawcę. Rozliczenie poszczególnych zamówień wykonawczych będzie następować na podstawie cen jednostkowych zaoferowanych w kosztorysie ofertowym oraz ilości faktycznie wykonanych i odebranych robót objętych danym zleceniem. </w:t>
      </w:r>
    </w:p>
    <w:p w14:paraId="2495DEA2"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Zgodnie z SWZ, dla każdego zlecenia Wykonawca sporządza kosztorys na wskazany przez Zamawiającego zakres robót w oparciu wyłącznie o stawki ofertowe, przedmiar oraz kosztorys ofertowy. Zakres robót objętych poszczególnymi zleceniami będzie każdorazowo ustalany przez przedstawicieli Zamawiającego i Wykonawcy. </w:t>
      </w:r>
    </w:p>
    <w:p w14:paraId="248ABD1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Koszty związane z organizacją robót, transportem sprzętu, dojazdem, mobilizacją i demobilizacją sprzętu, najmem, postojem, montażem i demontażem urządzeń technicznych oraz wszelkie inne koszty niezbędne do prawidłowego wykonania robót należy uwzględnić w kalkulacji cen jednostkowych zgodnie z zasadami kosztorysowania oraz wymaganiami SWZ. Zamawiający nie przewiduje odrębnych pozycji rozliczeniowych dla dojazdu sprzętu, kosztów mobilizacji, postoju czy dostępu linowego. </w:t>
      </w:r>
    </w:p>
    <w:p w14:paraId="79855686"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Jednocześnie Zamawiający zwraca uwagę, że w przypadku wystąpienia robót nieobjętych kosztorysem ofertowym, a niezbędnych do realizacji podstawowego zakresu prac, będą one rozliczane jako roboty towarzyszące zgodnie z zasadami określonymi w SWZ. W takim przypadku rozliczenie nastąpi:</w:t>
      </w:r>
    </w:p>
    <w:p w14:paraId="0B5548D8" w14:textId="77777777" w:rsidR="004D35EF" w:rsidRPr="004D35EF" w:rsidRDefault="004D35EF" w:rsidP="004D35EF">
      <w:pPr>
        <w:numPr>
          <w:ilvl w:val="0"/>
          <w:numId w:val="8"/>
        </w:numPr>
        <w:contextualSpacing/>
        <w:jc w:val="both"/>
        <w:rPr>
          <w:rFonts w:ascii="Verdana" w:eastAsia="Aptos" w:hAnsi="Verdana"/>
          <w:kern w:val="2"/>
          <w:lang w:eastAsia="en-US"/>
        </w:rPr>
      </w:pPr>
      <w:r w:rsidRPr="004D35EF">
        <w:rPr>
          <w:rFonts w:ascii="Verdana" w:eastAsia="Aptos" w:hAnsi="Verdana"/>
          <w:kern w:val="2"/>
          <w:lang w:eastAsia="en-US"/>
        </w:rPr>
        <w:t>w zakresie robocizny na podstawie składników cenotwórczych przyjętych w kosztorysie ofertowym (stawka roboczogodziny, koszty pośrednie i zysk),</w:t>
      </w:r>
    </w:p>
    <w:p w14:paraId="61D84B2D" w14:textId="77777777" w:rsidR="004D35EF" w:rsidRPr="004D35EF" w:rsidRDefault="004D35EF" w:rsidP="004D35EF">
      <w:pPr>
        <w:numPr>
          <w:ilvl w:val="0"/>
          <w:numId w:val="8"/>
        </w:numPr>
        <w:contextualSpacing/>
        <w:jc w:val="both"/>
        <w:rPr>
          <w:rFonts w:ascii="Verdana" w:eastAsia="Aptos" w:hAnsi="Verdana"/>
          <w:kern w:val="2"/>
          <w:lang w:eastAsia="en-US"/>
        </w:rPr>
      </w:pPr>
      <w:r w:rsidRPr="004D35EF">
        <w:rPr>
          <w:rFonts w:ascii="Verdana" w:eastAsia="Aptos" w:hAnsi="Verdana"/>
          <w:kern w:val="2"/>
          <w:lang w:eastAsia="en-US"/>
        </w:rPr>
        <w:t xml:space="preserve">w zakresie materiałów i sprzętu niewystępujących w kosztorysie ofertowym według cen jednostkowych zaproponowanych przez Wykonawcę, jednak nie wyższych niż średnie ceny SEKOCENBUD dla rejonu Małopolski za kwartał poprzedzający termin wykonania robót. </w:t>
      </w:r>
    </w:p>
    <w:p w14:paraId="41C8ECD7"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Dostęp linowy stanowi technologię realizacji robót przyjętą przez Wykonawcę i jako taki powinien zostać uwzględniony w kalkulacji cen jednostkowych. Wyłącznie w przypadku gdy konieczność jego zastosowania wynika z okoliczności nieprzewidzianych na etapie sporządzania oferty i nieobjętych zakresem kosztorysu ofertowego, jego rozliczenie będzie podlegało indywidualnej ocenie Zamawiającego zgodnie z zasadami rozliczania robót towarzyszących.</w:t>
      </w:r>
    </w:p>
    <w:p w14:paraId="3F379CC5" w14:textId="77777777" w:rsidR="004D35EF" w:rsidRDefault="004D35EF" w:rsidP="004D35EF">
      <w:pPr>
        <w:jc w:val="both"/>
        <w:rPr>
          <w:rFonts w:ascii="Verdana" w:eastAsia="Aptos" w:hAnsi="Verdana"/>
          <w:b/>
          <w:bCs/>
          <w:kern w:val="2"/>
          <w:lang w:eastAsia="en-US"/>
        </w:rPr>
      </w:pPr>
    </w:p>
    <w:p w14:paraId="5432D8BC" w14:textId="56777104"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6</w:t>
      </w:r>
    </w:p>
    <w:p w14:paraId="3DB17BF7"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Czy terminy 6/12/24 godzin są liczone w godzinach zegarowych również nocą, w weekendy i święta? OPZ wskazuje jednocześnie 1 dzień roboczy. Co stanowi przystąpienie do prac: przyjazd i zabezpieczenie awarii czy rozpoczęcie docelowej naprawy? Prosimy wskazać kanał i moment skutecznego zgłoszenia oraz zasady w razie warunków zagrażających bezpieczeństwu pracy na dachu.</w:t>
      </w:r>
    </w:p>
    <w:p w14:paraId="5CED7A23"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1D736E87"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wyjaśnia, że terminy 6, 12 i 24 godzin stanowiące kryterium oceny ofert należy rozumieć jako godziny zegarowe, liczone od momentu zgłoszenia przez Zamawiającego konieczności wykonania prac awaryjnych. Bieg terminu nie ulega zawieszeniu w porze nocnej, w dni wolne od pracy, weekendy ani święta. Termin ten odnosi się do czasu reakcji zadeklarowanego przez Wykonawcę w ofercie. </w:t>
      </w:r>
    </w:p>
    <w:p w14:paraId="7063F467"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Niezależnie od czasu reakcji zadeklarowanego w ofercie, zgodnie z SWZ oraz projektem umowy Wykonawca zobowiązany jest przystąpić do realizacji robót wymagających szybkiej interwencji i pilnej naprawy nie później niż w terminie określonym w ofercie, a w każdym przypadku nie później niż w terminie wynikającym z postanowień umowy. </w:t>
      </w:r>
    </w:p>
    <w:p w14:paraId="45A3F892"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Przez „przystąpienie do prac” Zamawiający rozumie podjęcie działań na miejscu awarii obejmujących co najmniej rozpoznanie zakresu uszkodzeń, zabezpieczenie miejsca wystąpienia awarii oraz wykonanie czynności niezbędnych do ograniczenia skutków awarii i zapewnienia bezpieczeństwa ludzi oraz mienia. Rozpoczęcie docelowej naprawy może nastąpić w dalszym etapie, stosownie do zakresu uszkodzeń oraz warunków technicznych. Powyższe wynika z § 4 ust. 1 pkt 4 projektu umowy, który nakłada obowiązek przystąpienia do realizacji robót po zgłoszeniu przez Zamawiającego, oraz z pkt 14 lit. e) Oświadczenia Gwarancyjnego Wykonawcy-Gwaranta, zgodnie z którym w </w:t>
      </w:r>
      <w:r w:rsidRPr="004D35EF">
        <w:rPr>
          <w:rFonts w:ascii="Verdana" w:eastAsia="Aptos" w:hAnsi="Verdana"/>
          <w:kern w:val="2"/>
          <w:lang w:eastAsia="en-US"/>
        </w:rPr>
        <w:lastRenderedPageBreak/>
        <w:t xml:space="preserve">przypadku wad zagrażających bezpieczeństwu ludzi lub mienia Wykonawca zobowiązany jest do zabezpieczenia miejsca wystąpienia wady oraz przystąpienia do jej usuwania po zgłoszeniu telefonicznym lub e-mailowym. </w:t>
      </w:r>
    </w:p>
    <w:p w14:paraId="3E83DB45"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Zgłoszenia prac awaryjnych będą dokonywane przez przedstawicieli Zamawiającego wskazanych do realizacji umowy, w szczególności za pośrednictwem poczty elektronicznej lub telefonicznie. Za moment zgłoszenia uznaje się chwilę przekazania Wykonawcy informacji o konieczności podjęcia interwencji. </w:t>
      </w:r>
    </w:p>
    <w:p w14:paraId="637FC4EC"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kern w:val="2"/>
          <w:lang w:eastAsia="en-US"/>
        </w:rPr>
        <w:t>Roboty należy wykonywać zgodnie z obowiązującymi przepisami BHP, przepisami dotyczącymi prac na wysokości oraz zasadami bezpieczeństwa określonymi w dokumentacji postępowania. W przypadku wystąpienia warunków uniemożliwiających bezpieczne prowadzenie robót na dachu Wykonawca zobowiązany jest do podjęcia działań zabezpieczających i ograniczających skutki awarii, natomiast wykonanie robót zasadniczych powinno nastąpić w najbliższym możliwym terminie pozwalającym na ich bezpieczne przeprowadzenie.</w:t>
      </w:r>
    </w:p>
    <w:p w14:paraId="37B2904A" w14:textId="77777777" w:rsidR="004D35EF" w:rsidRPr="004D35EF" w:rsidRDefault="004D35EF" w:rsidP="004D35EF">
      <w:pPr>
        <w:jc w:val="both"/>
        <w:rPr>
          <w:rFonts w:ascii="Verdana" w:eastAsia="Aptos" w:hAnsi="Verdana"/>
          <w:b/>
          <w:bCs/>
          <w:kern w:val="2"/>
          <w:lang w:eastAsia="en-US"/>
        </w:rPr>
      </w:pPr>
    </w:p>
    <w:p w14:paraId="585638B4"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7</w:t>
      </w:r>
    </w:p>
    <w:p w14:paraId="7ECA38B7"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Prosimy określić zasady pomiaru powierzchni odśnieżania, kwalifikowania grubości śniegu i lodu oraz liczenia kolejnych interwencji. Czy usuwanie obejmuje jedynie zrzut do wydzielonej strefy czy także wywóz śniegu? Dla poz. 1.27 prosimy wskazać orientacyjny udział papy, gruzu i metalu oraz potwierdzić sposób przekazania złomu na rzecz AGH.</w:t>
      </w:r>
    </w:p>
    <w:p w14:paraId="2EEEB0D4"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160281AC" w14:textId="5385F4C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Rozliczenie robót nastąpi na podstawie ilości faktycznie wykonanych i odebranych robót. </w:t>
      </w:r>
    </w:p>
    <w:p w14:paraId="79354FFD"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Zakres pozycji dotyczących odśnieżania określony został w przedmiarze robót poprzez podział na:</w:t>
      </w:r>
    </w:p>
    <w:p w14:paraId="0D4A9912" w14:textId="77777777" w:rsidR="004D35EF" w:rsidRPr="004D35EF" w:rsidRDefault="004D35EF" w:rsidP="004D35EF">
      <w:pPr>
        <w:numPr>
          <w:ilvl w:val="0"/>
          <w:numId w:val="9"/>
        </w:numPr>
        <w:jc w:val="both"/>
        <w:rPr>
          <w:rFonts w:ascii="Verdana" w:eastAsia="Aptos" w:hAnsi="Verdana"/>
          <w:kern w:val="2"/>
          <w:lang w:eastAsia="en-US"/>
        </w:rPr>
      </w:pPr>
      <w:r w:rsidRPr="004D35EF">
        <w:rPr>
          <w:rFonts w:ascii="Verdana" w:eastAsia="Aptos" w:hAnsi="Verdana"/>
          <w:kern w:val="2"/>
          <w:lang w:eastAsia="en-US"/>
        </w:rPr>
        <w:t>śnieg do 15 cm,</w:t>
      </w:r>
    </w:p>
    <w:p w14:paraId="01DEFA45" w14:textId="77777777" w:rsidR="004D35EF" w:rsidRPr="004D35EF" w:rsidRDefault="004D35EF" w:rsidP="004D35EF">
      <w:pPr>
        <w:numPr>
          <w:ilvl w:val="0"/>
          <w:numId w:val="9"/>
        </w:numPr>
        <w:jc w:val="both"/>
        <w:rPr>
          <w:rFonts w:ascii="Verdana" w:eastAsia="Aptos" w:hAnsi="Verdana"/>
          <w:kern w:val="2"/>
          <w:lang w:eastAsia="en-US"/>
        </w:rPr>
      </w:pPr>
      <w:r w:rsidRPr="004D35EF">
        <w:rPr>
          <w:rFonts w:ascii="Verdana" w:eastAsia="Aptos" w:hAnsi="Verdana"/>
          <w:kern w:val="2"/>
          <w:lang w:eastAsia="en-US"/>
        </w:rPr>
        <w:t>śnieg powyżej 15 cm,</w:t>
      </w:r>
    </w:p>
    <w:p w14:paraId="6233DB6B" w14:textId="77777777" w:rsidR="004D35EF" w:rsidRPr="004D35EF" w:rsidRDefault="004D35EF" w:rsidP="004D35EF">
      <w:pPr>
        <w:numPr>
          <w:ilvl w:val="0"/>
          <w:numId w:val="9"/>
        </w:numPr>
        <w:jc w:val="both"/>
        <w:rPr>
          <w:rFonts w:ascii="Verdana" w:eastAsia="Aptos" w:hAnsi="Verdana"/>
          <w:kern w:val="2"/>
          <w:lang w:eastAsia="en-US"/>
        </w:rPr>
      </w:pPr>
      <w:r w:rsidRPr="004D35EF">
        <w:rPr>
          <w:rFonts w:ascii="Verdana" w:eastAsia="Aptos" w:hAnsi="Verdana"/>
          <w:kern w:val="2"/>
          <w:lang w:eastAsia="en-US"/>
        </w:rPr>
        <w:t>śnieg i lód,</w:t>
      </w:r>
    </w:p>
    <w:p w14:paraId="7A75741B" w14:textId="77777777" w:rsidR="004D35EF" w:rsidRPr="004D35EF" w:rsidRDefault="004D35EF" w:rsidP="004D35EF">
      <w:pPr>
        <w:numPr>
          <w:ilvl w:val="0"/>
          <w:numId w:val="9"/>
        </w:numPr>
        <w:jc w:val="both"/>
        <w:rPr>
          <w:rFonts w:ascii="Verdana" w:eastAsia="Aptos" w:hAnsi="Verdana"/>
          <w:kern w:val="2"/>
          <w:lang w:eastAsia="en-US"/>
        </w:rPr>
      </w:pPr>
      <w:r w:rsidRPr="004D35EF">
        <w:rPr>
          <w:rFonts w:ascii="Verdana" w:eastAsia="Aptos" w:hAnsi="Verdana"/>
          <w:kern w:val="2"/>
          <w:lang w:eastAsia="en-US"/>
        </w:rPr>
        <w:t>lód</w:t>
      </w:r>
    </w:p>
    <w:p w14:paraId="6207E7A5" w14:textId="18307B9E" w:rsidR="004D35EF" w:rsidRPr="004D35EF" w:rsidRDefault="004D35EF" w:rsidP="004D35EF">
      <w:pPr>
        <w:jc w:val="both"/>
        <w:rPr>
          <w:rFonts w:ascii="Verdana" w:eastAsia="Aptos" w:hAnsi="Verdana"/>
          <w:b/>
          <w:bCs/>
          <w:kern w:val="2"/>
          <w:lang w:eastAsia="en-US"/>
        </w:rPr>
      </w:pPr>
      <w:r w:rsidRPr="004D35EF">
        <w:rPr>
          <w:rFonts w:ascii="Verdana" w:eastAsia="Aptos" w:hAnsi="Verdana"/>
          <w:kern w:val="2"/>
          <w:lang w:eastAsia="en-US"/>
        </w:rPr>
        <w:t xml:space="preserve">Zamawiający </w:t>
      </w:r>
      <w:r w:rsidR="00FC72FE">
        <w:rPr>
          <w:rFonts w:ascii="Verdana" w:eastAsia="Aptos" w:hAnsi="Verdana"/>
          <w:kern w:val="2"/>
          <w:lang w:eastAsia="en-US"/>
        </w:rPr>
        <w:t xml:space="preserve">dla pozycji 1.27 </w:t>
      </w:r>
      <w:r w:rsidRPr="004D35EF">
        <w:rPr>
          <w:rFonts w:ascii="Verdana" w:eastAsia="Aptos" w:hAnsi="Verdana"/>
          <w:kern w:val="2"/>
          <w:lang w:eastAsia="en-US"/>
        </w:rPr>
        <w:t>nie określa udziału poszczególnych rodzajów odpadów</w:t>
      </w:r>
      <w:r w:rsidR="00FC72FE">
        <w:rPr>
          <w:rFonts w:ascii="Verdana" w:eastAsia="Aptos" w:hAnsi="Verdana"/>
          <w:kern w:val="2"/>
          <w:lang w:eastAsia="en-US"/>
        </w:rPr>
        <w:t xml:space="preserve">. </w:t>
      </w:r>
      <w:r w:rsidRPr="004D35EF">
        <w:rPr>
          <w:rFonts w:ascii="Verdana" w:eastAsia="Aptos" w:hAnsi="Verdana"/>
          <w:kern w:val="2"/>
          <w:lang w:eastAsia="en-US"/>
        </w:rPr>
        <w:t>Elementy przeznaczone do złomowania należy przekazać skupu surowców wtórnych. Potwierdzenie przyjęcia złomu powinno zostać wystawione na rzecz Zamawiającego i przekazane Zamawiającemu w terminie do 5 dni od wystawienia dokumentu.</w:t>
      </w:r>
      <w:r w:rsidRPr="004D35EF">
        <w:rPr>
          <w:rFonts w:ascii="Verdana" w:eastAsia="Aptos" w:hAnsi="Verdana"/>
          <w:b/>
          <w:bCs/>
          <w:kern w:val="2"/>
          <w:lang w:eastAsia="en-US"/>
        </w:rPr>
        <w:t xml:space="preserve"> </w:t>
      </w:r>
    </w:p>
    <w:p w14:paraId="644E86F2" w14:textId="77777777" w:rsidR="004D35EF" w:rsidRPr="004D35EF" w:rsidRDefault="004D35EF" w:rsidP="004D35EF">
      <w:pPr>
        <w:jc w:val="both"/>
        <w:rPr>
          <w:rFonts w:ascii="Verdana" w:eastAsia="Aptos" w:hAnsi="Verdana"/>
          <w:kern w:val="2"/>
          <w:lang w:eastAsia="en-US"/>
        </w:rPr>
      </w:pPr>
    </w:p>
    <w:p w14:paraId="339BE23C"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8</w:t>
      </w:r>
    </w:p>
    <w:p w14:paraId="7E42D5FC"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Prosimy wskazać wymagania dla papy podkładowej, blachy (grubość i zabezpieczenie), wymienianych elementów drewnianych (przekroje i klasa), membrany </w:t>
      </w:r>
      <w:proofErr w:type="spellStart"/>
      <w:r w:rsidRPr="004D35EF">
        <w:rPr>
          <w:rFonts w:ascii="Verdana" w:eastAsia="Aptos" w:hAnsi="Verdana"/>
          <w:kern w:val="2"/>
          <w:lang w:eastAsia="en-US"/>
        </w:rPr>
        <w:t>Resitrix</w:t>
      </w:r>
      <w:proofErr w:type="spellEnd"/>
      <w:r w:rsidRPr="004D35EF">
        <w:rPr>
          <w:rFonts w:ascii="Verdana" w:eastAsia="Aptos" w:hAnsi="Verdana"/>
          <w:kern w:val="2"/>
          <w:lang w:eastAsia="en-US"/>
        </w:rPr>
        <w:t xml:space="preserve"> SK (wariant systemu) oraz płotków śniegowych. Prosimy potwierdzić zakres nowych materiałów w poz. 1.4 oraz sposób rozliczenia robót, których rzeczywista geometria różni się od założeń przedmiaru.</w:t>
      </w:r>
    </w:p>
    <w:p w14:paraId="65181B9B"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68E7FB46"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Wymagania dotyczące materiałów zostały określone w </w:t>
      </w:r>
      <w:proofErr w:type="spellStart"/>
      <w:r w:rsidRPr="004D35EF">
        <w:rPr>
          <w:rFonts w:ascii="Verdana" w:eastAsia="Aptos" w:hAnsi="Verdana"/>
          <w:kern w:val="2"/>
          <w:lang w:eastAsia="en-US"/>
        </w:rPr>
        <w:t>załaczniku</w:t>
      </w:r>
      <w:proofErr w:type="spellEnd"/>
      <w:r w:rsidRPr="004D35EF">
        <w:rPr>
          <w:rFonts w:ascii="Verdana" w:eastAsia="Aptos" w:hAnsi="Verdana"/>
          <w:kern w:val="2"/>
          <w:lang w:eastAsia="en-US"/>
        </w:rPr>
        <w:t xml:space="preserve"> STWIORB-dachy 2026, w szczególności w pkt 2.2 „Rodzaje materiałów”. Zamawiający dopuszcza stosowanie rozwiązań równoważnych zgodnie z zapisami SWZ, pod warunkiem spełnienia parametrów technicznych nie gorszych niż wskazane w dokumentacji postępowania.</w:t>
      </w:r>
    </w:p>
    <w:p w14:paraId="269F90D6"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W szczególności:</w:t>
      </w:r>
    </w:p>
    <w:p w14:paraId="52842481" w14:textId="77777777" w:rsidR="004D35EF" w:rsidRPr="004D35EF" w:rsidRDefault="004D35EF" w:rsidP="004D35EF">
      <w:pPr>
        <w:numPr>
          <w:ilvl w:val="0"/>
          <w:numId w:val="10"/>
        </w:numPr>
        <w:ind w:left="450"/>
        <w:contextualSpacing/>
        <w:jc w:val="both"/>
        <w:rPr>
          <w:rFonts w:ascii="Verdana" w:eastAsia="Aptos" w:hAnsi="Verdana"/>
          <w:kern w:val="2"/>
          <w:lang w:eastAsia="en-US"/>
        </w:rPr>
      </w:pPr>
      <w:r w:rsidRPr="004D35EF">
        <w:rPr>
          <w:rFonts w:ascii="Verdana" w:eastAsia="Aptos" w:hAnsi="Verdana"/>
          <w:kern w:val="2"/>
          <w:lang w:eastAsia="en-US"/>
        </w:rPr>
        <w:t>dla papy podkładowej przewidziano papę zgrzewalną typu POLBIT PF PYE PV 250 S5 lub równoważną o nie gorszych parametrach technicznych określonych w pkt 2.2.2 SST, w tym na osnowie z włókniny poliestrowej 250 g/m², grubości ok. 4,6 mm oraz giętkości do -25°C,</w:t>
      </w:r>
    </w:p>
    <w:p w14:paraId="32793CA2" w14:textId="77777777" w:rsidR="004D35EF" w:rsidRPr="004D35EF" w:rsidRDefault="004D35EF" w:rsidP="004D35EF">
      <w:pPr>
        <w:numPr>
          <w:ilvl w:val="0"/>
          <w:numId w:val="10"/>
        </w:numPr>
        <w:ind w:left="450"/>
        <w:contextualSpacing/>
        <w:jc w:val="both"/>
        <w:rPr>
          <w:rFonts w:ascii="Verdana" w:eastAsia="Aptos" w:hAnsi="Verdana"/>
          <w:kern w:val="2"/>
          <w:lang w:eastAsia="en-US"/>
        </w:rPr>
      </w:pPr>
      <w:r w:rsidRPr="004D35EF">
        <w:rPr>
          <w:rFonts w:ascii="Verdana" w:eastAsia="Aptos" w:hAnsi="Verdana"/>
          <w:kern w:val="2"/>
          <w:lang w:eastAsia="en-US"/>
        </w:rPr>
        <w:t xml:space="preserve">dla pokryć z blachy przewidziano blachę stalową ocynkowaną o grubości od 0,50 mm do 0,55 mm, ocynkowaną ogniowo warstwą cynku 275 g/m² wraz z warstwą </w:t>
      </w:r>
      <w:proofErr w:type="spellStart"/>
      <w:r w:rsidRPr="004D35EF">
        <w:rPr>
          <w:rFonts w:ascii="Verdana" w:eastAsia="Aptos" w:hAnsi="Verdana"/>
          <w:kern w:val="2"/>
          <w:lang w:eastAsia="en-US"/>
        </w:rPr>
        <w:t>pasywacyjną</w:t>
      </w:r>
      <w:proofErr w:type="spellEnd"/>
      <w:r w:rsidRPr="004D35EF">
        <w:rPr>
          <w:rFonts w:ascii="Verdana" w:eastAsia="Aptos" w:hAnsi="Verdana"/>
          <w:kern w:val="2"/>
          <w:lang w:eastAsia="en-US"/>
        </w:rPr>
        <w:t>, zgodnie z pkt 2.2.4 SST,</w:t>
      </w:r>
    </w:p>
    <w:p w14:paraId="7017EF89" w14:textId="77777777" w:rsidR="004D35EF" w:rsidRPr="004D35EF" w:rsidRDefault="004D35EF" w:rsidP="004D35EF">
      <w:pPr>
        <w:numPr>
          <w:ilvl w:val="0"/>
          <w:numId w:val="10"/>
        </w:numPr>
        <w:ind w:left="450"/>
        <w:contextualSpacing/>
        <w:jc w:val="both"/>
        <w:rPr>
          <w:rFonts w:ascii="Verdana" w:eastAsia="Aptos" w:hAnsi="Verdana"/>
          <w:kern w:val="2"/>
          <w:lang w:eastAsia="en-US"/>
        </w:rPr>
      </w:pPr>
      <w:r w:rsidRPr="004D35EF">
        <w:rPr>
          <w:rFonts w:ascii="Verdana" w:eastAsia="Aptos" w:hAnsi="Verdana"/>
          <w:kern w:val="2"/>
          <w:lang w:eastAsia="en-US"/>
        </w:rPr>
        <w:t xml:space="preserve">dla pokryć membranowych przewidziano membranę PCV typu SIKAPLAN 20G lub równoważną o parametrach wskazanych w pkt 2.2.5 SST, natomiast dla membrany EPDM w przedmiarze wskazano membranę typu </w:t>
      </w:r>
      <w:proofErr w:type="spellStart"/>
      <w:r w:rsidRPr="004D35EF">
        <w:rPr>
          <w:rFonts w:ascii="Verdana" w:eastAsia="Aptos" w:hAnsi="Verdana"/>
          <w:kern w:val="2"/>
          <w:lang w:eastAsia="en-US"/>
        </w:rPr>
        <w:t>Resitrix</w:t>
      </w:r>
      <w:proofErr w:type="spellEnd"/>
      <w:r w:rsidRPr="004D35EF">
        <w:rPr>
          <w:rFonts w:ascii="Verdana" w:eastAsia="Aptos" w:hAnsi="Verdana"/>
          <w:kern w:val="2"/>
          <w:lang w:eastAsia="en-US"/>
        </w:rPr>
        <w:t xml:space="preserve"> SK lub rozwiązanie równoważne zgodnie z wymaganiami SWZ dotyczącymi równoważności wyrobów,</w:t>
      </w:r>
    </w:p>
    <w:p w14:paraId="614D4F0E" w14:textId="77777777" w:rsidR="004D35EF" w:rsidRPr="004D35EF" w:rsidRDefault="004D35EF" w:rsidP="004D35EF">
      <w:pPr>
        <w:numPr>
          <w:ilvl w:val="0"/>
          <w:numId w:val="10"/>
        </w:numPr>
        <w:ind w:left="450"/>
        <w:contextualSpacing/>
        <w:jc w:val="both"/>
        <w:rPr>
          <w:rFonts w:ascii="Verdana" w:eastAsia="Aptos" w:hAnsi="Verdana"/>
          <w:kern w:val="2"/>
          <w:lang w:eastAsia="en-US"/>
        </w:rPr>
      </w:pPr>
      <w:r w:rsidRPr="004D35EF">
        <w:rPr>
          <w:rFonts w:ascii="Verdana" w:eastAsia="Aptos" w:hAnsi="Verdana"/>
          <w:kern w:val="2"/>
          <w:lang w:eastAsia="en-US"/>
        </w:rPr>
        <w:lastRenderedPageBreak/>
        <w:t>płotki śniegowe należy dobierać odpowiednio do rodzaju pokrycia dachowego i warunków technicznych obiektu, przy zachowaniu parametrów użytkowych nie gorszych niż rozwiązania stosowane powszechnie dla danego typu pokrycia.</w:t>
      </w:r>
    </w:p>
    <w:p w14:paraId="6DDEC8B0"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wyjaśnia, że dokumentacja nie określa uniwersalnych przekrojów ani klasy wymienianych elementów drewnianych. W przypadku konieczności ich wymiany należy zastosować materiały odpowiadające wymiarom, klasie i parametrom elementów istniejących lub wymaganiom wynikającym z technologii naprawy, po uzgodnieniu z Inspektorem Nadzoru.</w:t>
      </w:r>
    </w:p>
    <w:p w14:paraId="16C60AC4"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W odniesieniu do poz. 1.4 przedmiaru („Dodatek za podejścia odpływowe z rur i kształtek z </w:t>
      </w:r>
      <w:proofErr w:type="spellStart"/>
      <w:r w:rsidRPr="004D35EF">
        <w:rPr>
          <w:rFonts w:ascii="Verdana" w:eastAsia="Aptos" w:hAnsi="Verdana"/>
          <w:kern w:val="2"/>
          <w:lang w:eastAsia="en-US"/>
        </w:rPr>
        <w:t>nieplastyfikowanego</w:t>
      </w:r>
      <w:proofErr w:type="spellEnd"/>
      <w:r w:rsidRPr="004D35EF">
        <w:rPr>
          <w:rFonts w:ascii="Verdana" w:eastAsia="Aptos" w:hAnsi="Verdana"/>
          <w:kern w:val="2"/>
          <w:lang w:eastAsia="en-US"/>
        </w:rPr>
        <w:t xml:space="preserve"> PCW Ø110 mm”) Zamawiający potwierdza, że wycena pozycji obejmuje dostawę i montaż nowych materiałów niezbędnych do wykonania podejścia odpływowego.</w:t>
      </w:r>
    </w:p>
    <w:p w14:paraId="4697BA60"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kern w:val="2"/>
          <w:lang w:eastAsia="en-US"/>
        </w:rPr>
        <w:t xml:space="preserve">Zamawiający wyjaśnia również, że zgodnie z pkt 7.1, 7.2 oraz 7.4 </w:t>
      </w:r>
      <w:proofErr w:type="spellStart"/>
      <w:r w:rsidRPr="004D35EF">
        <w:rPr>
          <w:rFonts w:ascii="Verdana" w:eastAsia="Aptos" w:hAnsi="Verdana"/>
          <w:kern w:val="2"/>
          <w:lang w:eastAsia="en-US"/>
        </w:rPr>
        <w:t>STWiORB</w:t>
      </w:r>
      <w:proofErr w:type="spellEnd"/>
      <w:r w:rsidRPr="004D35EF">
        <w:rPr>
          <w:rFonts w:ascii="Verdana" w:eastAsia="Aptos" w:hAnsi="Verdana"/>
          <w:kern w:val="2"/>
          <w:lang w:eastAsia="en-US"/>
        </w:rPr>
        <w:t xml:space="preserve"> oraz zapisami SWZ i wzoru umowy, rozliczenie robót będzie następowało według ilości faktycznie wykonanych i odebranych robót ustalonych na podstawie obmiaru oraz zaakceptowanego kosztorysu dla danego zlecenia wykonawczego. W przypadku wystąpienia robót nieobjętych kosztorysem ofertowym, lecz niezbędnych do realizacji podstawowego zakresu prac, będą one rozliczane jako roboty towarzyszące na zasadach określonych w SWZ i § 8 wzoru umowy.</w:t>
      </w:r>
    </w:p>
    <w:p w14:paraId="45D5BF0E" w14:textId="77777777" w:rsidR="004D35EF" w:rsidRPr="004D35EF" w:rsidRDefault="004D35EF" w:rsidP="004D35EF">
      <w:pPr>
        <w:jc w:val="both"/>
        <w:rPr>
          <w:rFonts w:ascii="Verdana" w:eastAsia="Aptos" w:hAnsi="Verdana"/>
          <w:b/>
          <w:bCs/>
          <w:kern w:val="2"/>
          <w:lang w:eastAsia="en-US"/>
        </w:rPr>
      </w:pPr>
    </w:p>
    <w:p w14:paraId="340F4F2F"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9</w:t>
      </w:r>
    </w:p>
    <w:p w14:paraId="4A5D8269"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Prosimy wyjaśnić warunek dwóch realizacji dachowych: czy wymóg 100 000,00 zł brutto dotyczy tej jednej realizacji prowadzonej nieprzerwanie co najmniej 6 miesięcy, czy łącznej wartości obu? Czy warunek 6 miesięcy może potwierdzać wykonana umowa na sukcesywne konserwacje/remonty dachów bez codziennej obecności ekipy?</w:t>
      </w:r>
    </w:p>
    <w:p w14:paraId="0060C2CD"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1B1DDEFC"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wyjaśnia, że warunek określony w SWZ należy interpretować łącznie. Warunek zostanie uznany za spełniony, jeżeli Wykonawca wykaże wykonanie co najmniej dwóch realizacji polegających na konserwacjach i/lub remontach dachów, przy czym co najmniej jedna z wykazywanych realizacji musi być wykonywana nieprzerwanie przez okres co najmniej 6 miesięcy, natomiast łączna wartość wykazywanych realizacji nie może być mniejsza niż 100 000,00 zł brutto. Wymóg wartościowy nie odnosi się wyłącznie do realizacji wykonywanej przez okres 6 miesięcy, lecz do łącznej wartości realizacji wykazywanych na potwierdzenie spełnienia warunku udziału w postępowaniu.</w:t>
      </w:r>
    </w:p>
    <w:p w14:paraId="640018F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potwierdza również, że warunek wykonywania realizacji przez okres co najmniej 6 miesięcy może zostać spełniony przez umowę obejmującą sukcesywne wykonywanie konserwacji i/lub remontów dachów realizowaną przez okres nie krótszy niż 6 miesięcy. Zamawiający nie wymaga, aby przez cały wskazany okres roboty były wykonywane w sposób ciągły ani aby ekipa wykonawcza pozostawała codziennie na obiekcie. Istotne jest, aby realizacja była prowadzona w ramach jednej umowy obowiązującej przez okres co najmniej 6 miesięcy i obejmowała konserwacje i/lub remonty dachów. Ocena spełnienia warunku zostanie dokonana na podstawie przedstawionego wykazu robót oraz dokumentów potwierdzających ich należyte wykonanie.</w:t>
      </w:r>
    </w:p>
    <w:p w14:paraId="72CB1638" w14:textId="77777777" w:rsidR="004D35EF" w:rsidRPr="004D35EF" w:rsidRDefault="004D35EF" w:rsidP="004D35EF">
      <w:pPr>
        <w:jc w:val="both"/>
        <w:rPr>
          <w:rFonts w:ascii="Verdana" w:eastAsia="Aptos" w:hAnsi="Verdana"/>
          <w:b/>
          <w:bCs/>
          <w:kern w:val="2"/>
          <w:lang w:eastAsia="en-US"/>
        </w:rPr>
      </w:pPr>
    </w:p>
    <w:p w14:paraId="742055A8"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10</w:t>
      </w:r>
    </w:p>
    <w:p w14:paraId="1782FCD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Czy okres gwarancji 36-60 miesięcy odnosi się do robót naprawczych i nowych elementów, z wyłączeniem ponownego naturalnego zabrudzenia rynien, opadów śniegu i oblodzenia po wykonanym czyszczeniu? Prosimy doprecyzować ustalanie terminów zleceń przy opadach, mrozie i zakazie robót pożarowo niebezpiecznych.</w:t>
      </w:r>
    </w:p>
    <w:p w14:paraId="172B038D"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6833EF38"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wyjaśnia, że okres gwarancji oferowany przez Wykonawcę w wymiarze od 36 do 60 miesięcy odnosi się do wykonanych robót remontowych, naprawczych oraz wbudowanych materiałów i elementów objętych zakresem zamówienia, dla których możliwe jest określenie trwałości efektu wykonanych prac. Zgodnie z § 13 projektu umowy oraz Oświadczeniem Gwarancyjnym Wykonawcy-Gwaranta, gwarancja obejmuje w szczególności wykonane pokrycia dachowe, obróbki blacharskie, rynny, rury spustowe, </w:t>
      </w:r>
      <w:r w:rsidRPr="004D35EF">
        <w:rPr>
          <w:rFonts w:ascii="Verdana" w:eastAsia="Aptos" w:hAnsi="Verdana"/>
          <w:kern w:val="2"/>
          <w:lang w:eastAsia="en-US"/>
        </w:rPr>
        <w:lastRenderedPageBreak/>
        <w:t>elementy wymienione lub naprawione oraz inne roboty budowlane wykonane w ramach danego zamówienia wykonawczego.</w:t>
      </w:r>
    </w:p>
    <w:p w14:paraId="2B6D1D9F"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Jednocześnie Zamawiający wyjaśnia, że czynności o charakterze konserwacyjnym, takie jak czyszczenie rynien, rur spustowych, koryt odwadniających, usuwanie liści, śniegu lub lodu, nie prowadzą do uzyskania trwałego efektu budowlanego i podlegają naturalnemu oddziaływaniu warunków atmosferycznych oraz czynników środowiskowych. W związku z tym ponowne gromadzenie się zanieczyszczeń, liści, śniegu lub lodu po wykonaniu usługi nie stanowi wady robót ani podstawy do realizacji uprawnień gwarancyjnych. Stanowi to naturalną konsekwencję bieżącej eksploatacji obiektu oraz oddziaływania czynników zewnętrznych, niezależnych od jakości wykonania usługi.</w:t>
      </w:r>
    </w:p>
    <w:p w14:paraId="14163448"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Terminy realizacji poszczególnych zamówień wykonawczych będą każdorazowo określane przez Zamawiającego zgodnie z § 4 ust. 1 pkt 3 projektu umowy, z uwzględnieniem zakresu robót, technologii ich wykonania oraz warunków prowadzenia prac. </w:t>
      </w:r>
    </w:p>
    <w:p w14:paraId="32E067A1"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W przypadku wystąpienia warunków atmosferycznych uniemożliwiających prowadzenie robót zgodnie z wymaganiami technologicznymi, zasadami sztuki budowlanej lub przepisami BHP, w szczególności podczas opadów atmosferycznych, oblodzenia, silnego wiatru lub występowania innych okoliczności stwarzających zagrożenie dla bezpieczeństwa pracy na wysokości, roboty należy prowadzić zgodnie z obowiązującymi przepisami oraz wymaganiami określonymi w SWZ, </w:t>
      </w:r>
      <w:proofErr w:type="spellStart"/>
      <w:r w:rsidRPr="004D35EF">
        <w:rPr>
          <w:rFonts w:ascii="Verdana" w:eastAsia="Aptos" w:hAnsi="Verdana"/>
          <w:kern w:val="2"/>
          <w:lang w:eastAsia="en-US"/>
        </w:rPr>
        <w:t>STWiORB</w:t>
      </w:r>
      <w:proofErr w:type="spellEnd"/>
      <w:r w:rsidRPr="004D35EF">
        <w:rPr>
          <w:rFonts w:ascii="Verdana" w:eastAsia="Aptos" w:hAnsi="Verdana"/>
          <w:kern w:val="2"/>
          <w:lang w:eastAsia="en-US"/>
        </w:rPr>
        <w:t xml:space="preserve"> i projekcie umowy.</w:t>
      </w:r>
    </w:p>
    <w:p w14:paraId="65F44B2D" w14:textId="77777777" w:rsidR="004D35EF" w:rsidRPr="004D35EF" w:rsidRDefault="004D35EF" w:rsidP="004D35EF">
      <w:pPr>
        <w:jc w:val="both"/>
        <w:rPr>
          <w:rFonts w:ascii="Verdana" w:eastAsia="Aptos" w:hAnsi="Verdana"/>
          <w:b/>
          <w:bCs/>
          <w:kern w:val="2"/>
          <w:lang w:eastAsia="en-US"/>
        </w:rPr>
      </w:pPr>
    </w:p>
    <w:p w14:paraId="67F4E652"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11</w:t>
      </w:r>
    </w:p>
    <w:p w14:paraId="3934C3FC"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Prosimy wskazać miejsce ustawienia mobilnego zaplecza i kontenerów, zasady poboru energii i wody oraz rozliczenia mediów. Prosimy określić liczbę kart i opłaty za wjazd, warunki rozładunku, dopuszczalne godziny hałaśliwych prac oraz tryb uzyskiwania zgody na prace gorące.</w:t>
      </w:r>
    </w:p>
    <w:p w14:paraId="384F7F7A"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5CDA387F"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informuje, że zgodnie z zapisami SWZ Wykonawca nie będzie miał możliwości korzystania z zaplecza socjalno-sanitarnego w budynkach Uczelni ani możliwości składowania (magazynowania) materiałów i elementów dostaw na terenie budynków Uczelni. Organizacja zaplecza budowy, magazynów, kontenerów oraz miejsc czasowego składowania materiałów pozostaje po stronie Wykonawcy i wymaga każdorazowego uzgodnienia z przedstawicielami Zamawiającego dla konkretnego zamówienia wykonawczego.</w:t>
      </w:r>
    </w:p>
    <w:p w14:paraId="3AB63D6C"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Zamawiający nie wyznacza stałych punktów poboru energii elektrycznej i wody dla wszystkich obiektów objętych zamówieniem. Ewentualne możliwości korzystania z mediów będą każdorazowo ustalane indywidualnie dla danego zamówienia wykonawczego, z uwzględnieniem specyfiki obiektu, zakresu robót oraz warunków technicznych istniejących instalacji. Lokalizacja punktów poboru mediów, sposób ich wykorzystania będą uzgadniane na etapie realizacji konkretnego zlecenia. W przypadku braku możliwości technicznych korzystania z mediów Zamawiającego, Wykonawca zobowiązany będzie zapewnić je we własnym zakresie.</w:t>
      </w:r>
    </w:p>
    <w:p w14:paraId="7C5F378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Zgodnie z SWZ Zamawiający wyda maksymalnie jedną kartę wjazdową do strefy A lub B, ograniczoną czasowo do okresu obowiązywania umowy. W sytuacji, gdy zachodzi konieczność wjazdu pojazdów służbowych na teren Uczelni, Wykonawca zobowiązany jest do ponoszenia opłat zgodnie z obowiązującym regulaminem i cennikiem AGH. Obowiązek ten został również wskazany w § 5 projektu umowy.</w:t>
      </w:r>
    </w:p>
    <w:p w14:paraId="6BE2AB22"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Warunki rozładunku materiałów, lokalizacja zaplecza oraz kontenerów będą każdorazowo uzgadniane w zależności od lokalizacji robót, zakresu zlecenia oraz bieżących uwarunkowań eksploatacyjnych danego obiektu. Zamawiający nie wyznacza jednej stałej lokalizacji przeznaczonej dla wszystkich zleceń realizowanych w ramach umowy.</w:t>
      </w:r>
    </w:p>
    <w:p w14:paraId="71CC16E2"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Zgodnie z SWZ prace hałaśliwe należy wykonywać zasadniczo do godziny 8:00, po godzinie 16:00 oraz w godzinach nocnych, natomiast w miesiącu sierpniu dopuszcza się również prowadzenie takich prac w godzinach od 8:00 do 16:00. Wykonawca zobowiązany jest prowadzić roboty w sposób niezakłócający bieżącej działalności Uczelni. </w:t>
      </w:r>
    </w:p>
    <w:p w14:paraId="3D96CCB8" w14:textId="369D687A" w:rsidR="004D35EF" w:rsidRPr="004D35EF" w:rsidRDefault="004D35EF" w:rsidP="004D35EF">
      <w:pPr>
        <w:jc w:val="both"/>
        <w:rPr>
          <w:rFonts w:ascii="Verdana" w:eastAsia="Aptos" w:hAnsi="Verdana"/>
          <w:b/>
          <w:bCs/>
          <w:kern w:val="2"/>
          <w:lang w:eastAsia="en-US"/>
        </w:rPr>
      </w:pPr>
      <w:r w:rsidRPr="004D35EF">
        <w:rPr>
          <w:rFonts w:ascii="Verdana" w:eastAsia="Aptos" w:hAnsi="Verdana"/>
          <w:kern w:val="2"/>
          <w:lang w:eastAsia="en-US"/>
        </w:rPr>
        <w:t xml:space="preserve">Prace pożarowo niebezpieczne (tzw. prace gorące) należy prowadzić zgodnie z wymaganiami określonymi w SWZ oraz projekcie umowy. Zamawiający przypomina, że zgodnie z </w:t>
      </w:r>
      <w:r w:rsidR="005B3120">
        <w:rPr>
          <w:rFonts w:ascii="Verdana" w:eastAsia="Aptos" w:hAnsi="Verdana"/>
          <w:kern w:val="2"/>
          <w:lang w:eastAsia="en-US"/>
        </w:rPr>
        <w:t>OPZ</w:t>
      </w:r>
      <w:r w:rsidRPr="004D35EF">
        <w:rPr>
          <w:rFonts w:ascii="Verdana" w:eastAsia="Aptos" w:hAnsi="Verdana"/>
          <w:kern w:val="2"/>
          <w:lang w:eastAsia="en-US"/>
        </w:rPr>
        <w:t xml:space="preserve"> prace należy prowadzić w sposób zapewniający całkowite bezpieczeństwo i </w:t>
      </w:r>
      <w:r w:rsidRPr="004D35EF">
        <w:rPr>
          <w:rFonts w:ascii="Verdana" w:eastAsia="Aptos" w:hAnsi="Verdana"/>
          <w:kern w:val="2"/>
          <w:lang w:eastAsia="en-US"/>
        </w:rPr>
        <w:lastRenderedPageBreak/>
        <w:t>higienę pracy w otoczeniu robót oraz zgodnie z „Wytycznymi do prowadzenia prac niebezpiecznych pożarowo na AGH”. Dokument ten wraz ze wzorem wymaganego oświadczenia został udostępniony przez Zamawiającego. Ponadto zgodnie z § 5 ust. 1 pkt 3 projektu umowy, przed udzieleniem zamówienia wykonawczego Wykonawca zobowiązany jest do przedłożenia oświadczenia osoby odpowiedzialnej za zabezpieczenie i prowadzenie prac pożarowo niebezpiecznych, potwierdzającego zapoznanie się z ww. wytycznymi oraz ich akceptację. Szczegółowy tryb organizacji, zabezpieczenia i uzyskania zgody na prowadzenie prac pożarowo niebezpiecznych określają ww. Wytyczne obowiązujące na terenie AGH.</w:t>
      </w:r>
    </w:p>
    <w:p w14:paraId="0317FA56" w14:textId="77777777" w:rsidR="004D35EF" w:rsidRDefault="004D35EF" w:rsidP="004D35EF">
      <w:pPr>
        <w:jc w:val="both"/>
        <w:rPr>
          <w:rFonts w:ascii="Verdana" w:eastAsia="Aptos" w:hAnsi="Verdana"/>
          <w:b/>
          <w:bCs/>
          <w:kern w:val="2"/>
          <w:lang w:eastAsia="en-US"/>
        </w:rPr>
      </w:pPr>
    </w:p>
    <w:p w14:paraId="5D3888FB" w14:textId="25B7467D"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Pytanie nr 12</w:t>
      </w:r>
    </w:p>
    <w:p w14:paraId="5CEBF2BA"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Prosimy o informację o kwocie brutto przeznaczonej na sfinansowanie zamówienia, o ile została ustalona i może zostać udostępniona na obecnym etapie, oraz czy limit łącznego wynagrodzenia obejmuje rezerwę 10% na roboty towarzyszące bez dodatkowego powiększania ceny koszyka przedmiarowego.</w:t>
      </w:r>
    </w:p>
    <w:p w14:paraId="62CBB8D6" w14:textId="77777777" w:rsidR="004D35EF" w:rsidRPr="004D35EF" w:rsidRDefault="004D35EF" w:rsidP="004D35EF">
      <w:pPr>
        <w:jc w:val="both"/>
        <w:rPr>
          <w:rFonts w:ascii="Verdana" w:eastAsia="Aptos" w:hAnsi="Verdana"/>
          <w:b/>
          <w:bCs/>
          <w:kern w:val="2"/>
          <w:lang w:eastAsia="en-US"/>
        </w:rPr>
      </w:pPr>
      <w:r w:rsidRPr="004D35EF">
        <w:rPr>
          <w:rFonts w:ascii="Verdana" w:eastAsia="Aptos" w:hAnsi="Verdana"/>
          <w:b/>
          <w:bCs/>
          <w:kern w:val="2"/>
          <w:lang w:eastAsia="en-US"/>
        </w:rPr>
        <w:t>Odpowiedź:</w:t>
      </w:r>
    </w:p>
    <w:p w14:paraId="3C7EDFD4" w14:textId="012F2FAB"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Zamawiający informuje, że zgodnie z </w:t>
      </w:r>
      <w:r w:rsidR="00FC72FE">
        <w:rPr>
          <w:rFonts w:ascii="Verdana" w:eastAsia="Aptos" w:hAnsi="Verdana"/>
          <w:kern w:val="2"/>
          <w:lang w:eastAsia="en-US"/>
        </w:rPr>
        <w:t xml:space="preserve">art. 222 ust. 4 ustawy PZP </w:t>
      </w:r>
      <w:r w:rsidRPr="004D35EF">
        <w:rPr>
          <w:rFonts w:ascii="Verdana" w:eastAsia="Aptos" w:hAnsi="Verdana"/>
          <w:kern w:val="2"/>
          <w:lang w:eastAsia="en-US"/>
        </w:rPr>
        <w:t xml:space="preserve"> </w:t>
      </w:r>
      <w:r w:rsidR="00FC72FE">
        <w:rPr>
          <w:rFonts w:ascii="Verdana" w:eastAsia="Aptos" w:hAnsi="Verdana"/>
          <w:kern w:val="2"/>
          <w:lang w:eastAsia="en-US"/>
        </w:rPr>
        <w:t>najpóźniej przed otwarciem ofert, udostępnia na stronie internetowej prowadzonego postępowania informację o kwocie , jaką zamierza przeznaczyć na sfinansowanie zamówienia</w:t>
      </w:r>
      <w:r w:rsidRPr="004D35EF">
        <w:rPr>
          <w:rFonts w:ascii="Verdana" w:eastAsia="Aptos" w:hAnsi="Verdana"/>
          <w:kern w:val="2"/>
          <w:lang w:eastAsia="en-US"/>
        </w:rPr>
        <w:t>.</w:t>
      </w:r>
    </w:p>
    <w:p w14:paraId="6A5DAC0B"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Jednocześnie Zamawiający wyjaśnia, że zgodnie z opisem przedmiotu zamówienia zawartym w SWZ oraz § 7 ust. 2 i 3 projektu umowy, łączna wartość wszystkich zleceń wykonywanych w ramach umowy, w tym także wartość robót towarzyszących, nie może przekroczyć ceny oferty (wartości umowy). SWZ wskazuje wprost, że: „Łączna wartość wszystkich zleceń wykonywanych w ramach niniejszego zamówienia nie może przekroczyć ceny oferty, w tym wartość ewentualnych robót towarzyszących 10% ceny oferty”. </w:t>
      </w:r>
    </w:p>
    <w:p w14:paraId="269E0EA5"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 xml:space="preserve">Zgodnie z § 7 ust. 3 projektu umowy wartość ewentualnych robót towarzyszących nie może przekroczyć 10% wartości ceny oferty, przy czym wartość robót towarzyszących dla pojedynczego zlecenia nie może przekroczyć 20% wartości danego zamówienia wykonawczego. </w:t>
      </w:r>
    </w:p>
    <w:p w14:paraId="18A491F5" w14:textId="77777777" w:rsidR="004D35EF" w:rsidRPr="004D35EF" w:rsidRDefault="004D35EF" w:rsidP="004D35EF">
      <w:pPr>
        <w:jc w:val="both"/>
        <w:rPr>
          <w:rFonts w:ascii="Verdana" w:eastAsia="Aptos" w:hAnsi="Verdana"/>
          <w:kern w:val="2"/>
          <w:lang w:eastAsia="en-US"/>
        </w:rPr>
      </w:pPr>
      <w:r w:rsidRPr="004D35EF">
        <w:rPr>
          <w:rFonts w:ascii="Verdana" w:eastAsia="Aptos" w:hAnsi="Verdana"/>
          <w:kern w:val="2"/>
          <w:lang w:eastAsia="en-US"/>
        </w:rPr>
        <w:t>W konsekwencji roboty towarzyszące nie stanowią dodatkowej rezerwy zwiększającej wartość umowy ponad cenę oferty. Ich wartość mieści się w maksymalnym wynagrodzeniu umownym i podlega rozliczeniu w ramach limitu wynikającego z ceny ofertowej oraz zasad określonych w SWZ i projekcie umowy.</w:t>
      </w:r>
    </w:p>
    <w:p w14:paraId="1DCBB048" w14:textId="77777777" w:rsidR="00BE7BFD" w:rsidRPr="004D35EF" w:rsidRDefault="00BE7BFD" w:rsidP="004D35EF">
      <w:pPr>
        <w:jc w:val="both"/>
        <w:rPr>
          <w:rFonts w:ascii="Verdana" w:hAnsi="Verdana"/>
        </w:rPr>
      </w:pPr>
    </w:p>
    <w:sectPr w:rsidR="00BE7BFD" w:rsidRPr="004D35EF"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20F7C" w14:textId="77777777" w:rsidR="00F66AAA" w:rsidRDefault="00F66AAA">
      <w:r>
        <w:separator/>
      </w:r>
    </w:p>
  </w:endnote>
  <w:endnote w:type="continuationSeparator" w:id="0">
    <w:p w14:paraId="11871DF2" w14:textId="77777777" w:rsidR="00F66AAA" w:rsidRDefault="00F66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D03C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57168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3CE1" w14:textId="77777777" w:rsidR="006D4AB3" w:rsidRDefault="00F66AAA">
    <w:pPr>
      <w:pStyle w:val="Stopka"/>
      <w:tabs>
        <w:tab w:val="clear" w:pos="4536"/>
      </w:tabs>
      <w:jc w:val="center"/>
    </w:pPr>
    <w:r>
      <w:rPr>
        <w:noProof/>
      </w:rPr>
      <w:pict w14:anchorId="6C3F42D9">
        <v:line id="_x0000_s1025" style="position:absolute;left:0;text-align:left;z-index:251657728" from="-3.85pt,8.75pt" to="455.15pt,8.75pt"/>
      </w:pict>
    </w:r>
  </w:p>
  <w:p w14:paraId="67204CF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07659" w14:textId="77777777" w:rsidR="006D4AB3" w:rsidRDefault="006D4AB3">
    <w:pPr>
      <w:pStyle w:val="Stopka"/>
      <w:pBdr>
        <w:bottom w:val="single" w:sz="6" w:space="0" w:color="auto"/>
      </w:pBdr>
      <w:tabs>
        <w:tab w:val="clear" w:pos="4536"/>
        <w:tab w:val="left" w:pos="6237"/>
      </w:tabs>
    </w:pPr>
  </w:p>
  <w:p w14:paraId="57B9227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46C7C9B" w14:textId="77777777" w:rsidR="006D4AB3" w:rsidRDefault="006D4AB3">
    <w:pPr>
      <w:pStyle w:val="Stopka"/>
      <w:tabs>
        <w:tab w:val="clear" w:pos="4536"/>
        <w:tab w:val="left" w:pos="6237"/>
      </w:tabs>
    </w:pPr>
  </w:p>
  <w:p w14:paraId="00F541C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46C6F" w14:textId="77777777" w:rsidR="00F66AAA" w:rsidRDefault="00F66AAA">
      <w:r>
        <w:separator/>
      </w:r>
    </w:p>
  </w:footnote>
  <w:footnote w:type="continuationSeparator" w:id="0">
    <w:p w14:paraId="6FC75983" w14:textId="77777777" w:rsidR="00F66AAA" w:rsidRDefault="00F66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14822" w14:textId="77777777" w:rsidR="0086016D" w:rsidRDefault="008601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D2AAA" w14:textId="77777777" w:rsidR="0086016D" w:rsidRDefault="0086016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8DD19" w14:textId="77777777" w:rsidR="0086016D" w:rsidRDefault="008601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B7171"/>
    <w:multiLevelType w:val="hybridMultilevel"/>
    <w:tmpl w:val="DCAAE906"/>
    <w:lvl w:ilvl="0" w:tplc="D944B23E">
      <w:start w:val="1"/>
      <w:numFmt w:val="bullet"/>
      <w:lvlText w:val="−"/>
      <w:lvlJc w:val="left"/>
      <w:pPr>
        <w:ind w:left="720" w:hanging="360"/>
      </w:pPr>
      <w:rPr>
        <w:rFonts w:ascii="Times New Roman" w:hAnsi="Times New Roman" w:cs="Times New Roman"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8073550"/>
    <w:multiLevelType w:val="hybridMultilevel"/>
    <w:tmpl w:val="6F324FF6"/>
    <w:lvl w:ilvl="0" w:tplc="D944B23E">
      <w:start w:val="1"/>
      <w:numFmt w:val="bullet"/>
      <w:lvlText w:val="−"/>
      <w:lvlJc w:val="left"/>
      <w:pPr>
        <w:ind w:left="720" w:hanging="360"/>
      </w:pPr>
      <w:rPr>
        <w:rFonts w:ascii="Times New Roman" w:hAnsi="Times New Roman" w:cs="Times New Roman"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AA50286"/>
    <w:multiLevelType w:val="multilevel"/>
    <w:tmpl w:val="E28CD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06862459">
    <w:abstractNumId w:val="5"/>
  </w:num>
  <w:num w:numId="2" w16cid:durableId="93790830">
    <w:abstractNumId w:val="9"/>
  </w:num>
  <w:num w:numId="3" w16cid:durableId="18241635">
    <w:abstractNumId w:val="4"/>
  </w:num>
  <w:num w:numId="4" w16cid:durableId="403845429">
    <w:abstractNumId w:val="8"/>
  </w:num>
  <w:num w:numId="5" w16cid:durableId="62337374">
    <w:abstractNumId w:val="1"/>
  </w:num>
  <w:num w:numId="6" w16cid:durableId="297497536">
    <w:abstractNumId w:val="2"/>
  </w:num>
  <w:num w:numId="7" w16cid:durableId="1672954226">
    <w:abstractNumId w:val="6"/>
  </w:num>
  <w:num w:numId="8" w16cid:durableId="344090856">
    <w:abstractNumId w:val="0"/>
  </w:num>
  <w:num w:numId="9" w16cid:durableId="1273128712">
    <w:abstractNumId w:val="7"/>
  </w:num>
  <w:num w:numId="10" w16cid:durableId="2114788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0E3F"/>
    <w:rsid w:val="00031374"/>
    <w:rsid w:val="000A1097"/>
    <w:rsid w:val="000E2A8F"/>
    <w:rsid w:val="0012774F"/>
    <w:rsid w:val="00144B7A"/>
    <w:rsid w:val="00180C6E"/>
    <w:rsid w:val="0029606A"/>
    <w:rsid w:val="002C6A48"/>
    <w:rsid w:val="00410379"/>
    <w:rsid w:val="00466400"/>
    <w:rsid w:val="004848F3"/>
    <w:rsid w:val="004A75F2"/>
    <w:rsid w:val="004D35EF"/>
    <w:rsid w:val="005144A9"/>
    <w:rsid w:val="00520165"/>
    <w:rsid w:val="005B1B08"/>
    <w:rsid w:val="005B3120"/>
    <w:rsid w:val="00632C3C"/>
    <w:rsid w:val="00650E3F"/>
    <w:rsid w:val="00662BDB"/>
    <w:rsid w:val="006A5DF1"/>
    <w:rsid w:val="006B7198"/>
    <w:rsid w:val="006D4AB3"/>
    <w:rsid w:val="006F1520"/>
    <w:rsid w:val="006F3B81"/>
    <w:rsid w:val="00711222"/>
    <w:rsid w:val="007D7198"/>
    <w:rsid w:val="0086016D"/>
    <w:rsid w:val="00864538"/>
    <w:rsid w:val="00870F9F"/>
    <w:rsid w:val="008804B6"/>
    <w:rsid w:val="00897AB0"/>
    <w:rsid w:val="008A3553"/>
    <w:rsid w:val="009D490F"/>
    <w:rsid w:val="00A905AC"/>
    <w:rsid w:val="00B127E1"/>
    <w:rsid w:val="00BA6584"/>
    <w:rsid w:val="00BE7BFD"/>
    <w:rsid w:val="00C370F2"/>
    <w:rsid w:val="00C44EEC"/>
    <w:rsid w:val="00C818F0"/>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160E8"/>
    <w:rsid w:val="00F66AAA"/>
    <w:rsid w:val="00FC5957"/>
    <w:rsid w:val="00FC72FE"/>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DCF658"/>
  <w15:chartTrackingRefBased/>
  <w15:docId w15:val="{B0E3FF2A-FA26-48E6-8882-C51FAD40C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i.adm.agh.edu.pl/przetargi/dr/dp/2026/Zaktualizowany_Przedmiar_robot_Remonty_dachow-Uczelni/"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3421</Words>
  <Characters>20529</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2026-11-06T11:32:00Z</cp:lastPrinted>
  <dcterms:created xsi:type="dcterms:W3CDTF">2026-11-06T11:32:00Z</dcterms:created>
  <dcterms:modified xsi:type="dcterms:W3CDTF">2026-11-06T11:32:00Z</dcterms:modified>
</cp:coreProperties>
</file>