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312D54D7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F621AC" w:rsidRPr="00F621AC">
        <w:rPr>
          <w:rFonts w:ascii="Calibri" w:hAnsi="Calibri"/>
          <w:b/>
          <w:i/>
          <w:sz w:val="20"/>
          <w:szCs w:val="20"/>
        </w:rPr>
        <w:t>Sukcesywna dostawa zestawów do pobierania osocza, antykoagulantu i igieł do plazmaferezy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76B72F7C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="001570FB" w:rsidRPr="001570FB">
        <w:rPr>
          <w:rFonts w:asciiTheme="minorHAnsi" w:hAnsiTheme="minorHAnsi" w:cstheme="minorHAnsi"/>
          <w:sz w:val="20"/>
          <w:szCs w:val="20"/>
        </w:rPr>
        <w:t>oraz</w:t>
      </w:r>
      <w:r w:rsidR="001570FB">
        <w:rPr>
          <w:rFonts w:asciiTheme="minorHAnsi" w:hAnsiTheme="minorHAnsi" w:cstheme="minorHAnsi"/>
          <w:sz w:val="20"/>
          <w:szCs w:val="20"/>
        </w:rPr>
        <w:t xml:space="preserve"> </w:t>
      </w:r>
      <w:r w:rsidR="001570FB" w:rsidRPr="001570FB">
        <w:rPr>
          <w:rFonts w:asciiTheme="minorHAnsi" w:hAnsiTheme="minorHAnsi" w:cstheme="minorHAnsi"/>
          <w:sz w:val="20"/>
          <w:szCs w:val="20"/>
        </w:rPr>
        <w:t>art. 109 ust. 1 pkt. 4, 7, 8 i 10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 (tj. Dz. U. z 202</w:t>
      </w:r>
      <w:r w:rsidR="00450BF1">
        <w:rPr>
          <w:rFonts w:asciiTheme="minorHAnsi" w:hAnsiTheme="minorHAnsi" w:cstheme="minorHAnsi"/>
          <w:sz w:val="20"/>
          <w:szCs w:val="20"/>
        </w:rPr>
        <w:t>3</w:t>
      </w:r>
      <w:r w:rsidR="0008082D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450BF1">
        <w:rPr>
          <w:rFonts w:asciiTheme="minorHAnsi" w:hAnsiTheme="minorHAnsi" w:cstheme="minorHAnsi"/>
          <w:sz w:val="20"/>
          <w:szCs w:val="20"/>
        </w:rPr>
        <w:t>605</w:t>
      </w:r>
      <w:r w:rsidRPr="00AA62C4">
        <w:rPr>
          <w:rFonts w:asciiTheme="minorHAnsi" w:hAnsiTheme="minorHAnsi" w:cstheme="minorHAnsi"/>
          <w:sz w:val="20"/>
          <w:szCs w:val="20"/>
        </w:rPr>
        <w:t xml:space="preserve"> ze zm.) [dalej jako „</w:t>
      </w:r>
      <w:proofErr w:type="spellStart"/>
      <w:r w:rsidRPr="00AA62C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AA62C4">
        <w:rPr>
          <w:rFonts w:asciiTheme="minorHAnsi" w:hAnsiTheme="minorHAnsi" w:cstheme="minorHAnsi"/>
          <w:sz w:val="20"/>
          <w:szCs w:val="20"/>
        </w:rPr>
        <w:t>”];</w:t>
      </w:r>
    </w:p>
    <w:p w14:paraId="16F468CF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E3115F">
        <w:rPr>
          <w:rFonts w:asciiTheme="minorHAnsi" w:hAnsiTheme="minorHAnsi" w:cstheme="minorHAnsi"/>
          <w:i/>
          <w:sz w:val="20"/>
        </w:rPr>
        <w:t>dalej: rozporządzenie 833/2014</w:t>
      </w:r>
      <w:r w:rsidRPr="00E3115F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vertAlign w:val="superscript"/>
        </w:rPr>
        <w:footnoteReference w:id="1"/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84244CA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59DF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7C993F54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1F617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34EA037E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25584C47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0D4513">
      <w:rPr>
        <w:rFonts w:ascii="Arial" w:eastAsiaTheme="minorHAnsi" w:hAnsi="Arial" w:cs="Arial"/>
        <w:iCs/>
        <w:sz w:val="16"/>
        <w:szCs w:val="18"/>
      </w:rPr>
      <w:t>10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40D40BF8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0D4513">
      <w:rPr>
        <w:rFonts w:ascii="Arial" w:eastAsiaTheme="minorHAnsi" w:hAnsi="Arial" w:cs="Arial"/>
        <w:iCs/>
        <w:sz w:val="16"/>
        <w:szCs w:val="18"/>
      </w:rPr>
      <w:t>0</w:t>
    </w:r>
    <w:r w:rsidR="00F621AC">
      <w:rPr>
        <w:rFonts w:ascii="Arial" w:eastAsiaTheme="minorHAnsi" w:hAnsi="Arial" w:cs="Arial"/>
        <w:iCs/>
        <w:sz w:val="16"/>
        <w:szCs w:val="18"/>
      </w:rPr>
      <w:t>7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0D4513">
      <w:rPr>
        <w:rFonts w:ascii="Arial" w:eastAsiaTheme="minorHAnsi" w:hAnsi="Arial" w:cs="Arial"/>
        <w:iCs/>
        <w:sz w:val="16"/>
        <w:szCs w:val="18"/>
      </w:rPr>
      <w:t>4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063C1"/>
    <w:rsid w:val="00741E79"/>
    <w:rsid w:val="00750214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621AC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9</cp:revision>
  <dcterms:created xsi:type="dcterms:W3CDTF">2023-10-30T11:51:00Z</dcterms:created>
  <dcterms:modified xsi:type="dcterms:W3CDTF">2024-03-11T10:54:00Z</dcterms:modified>
</cp:coreProperties>
</file>