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C8F4A" w14:textId="77777777" w:rsidR="00B11BD3" w:rsidRDefault="00B11BD3" w:rsidP="00B11BD3">
      <w:pPr>
        <w:rPr>
          <w:rFonts w:ascii="Times New Roman" w:hAnsi="Times New Roman"/>
          <w:sz w:val="24"/>
          <w:szCs w:val="24"/>
        </w:rPr>
      </w:pPr>
      <w:bookmarkStart w:id="0" w:name="_Hlk76546673"/>
    </w:p>
    <w:p w14:paraId="3D31BA83" w14:textId="77777777" w:rsidR="00B11BD3" w:rsidRDefault="00B11BD3" w:rsidP="00B11B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Załącznik nr 2 </w:t>
      </w:r>
    </w:p>
    <w:p w14:paraId="37CD0902" w14:textId="77777777" w:rsidR="00B11BD3" w:rsidRDefault="00B11BD3" w:rsidP="00B11B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Eap-2412/15/23/M</w:t>
      </w:r>
    </w:p>
    <w:p w14:paraId="4FDF6E43" w14:textId="77777777" w:rsidR="00B11BD3" w:rsidRDefault="00B11BD3" w:rsidP="00B11BD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Opis przedmiotu zamówienia</w:t>
      </w:r>
    </w:p>
    <w:p w14:paraId="4995E6B1" w14:textId="77777777" w:rsidR="00B11BD3" w:rsidRPr="00547E09" w:rsidRDefault="00B11BD3" w:rsidP="00B11BD3">
      <w:pPr>
        <w:rPr>
          <w:rFonts w:ascii="Times New Roman" w:hAnsi="Times New Roman"/>
          <w:b/>
          <w:sz w:val="24"/>
          <w:szCs w:val="24"/>
        </w:rPr>
      </w:pPr>
      <w:bookmarkStart w:id="1" w:name="_Hlk76546308"/>
      <w:bookmarkStart w:id="2" w:name="_Hlk150251883"/>
      <w:bookmarkStart w:id="3" w:name="_Hlk150248761"/>
      <w:r w:rsidRPr="00547E09">
        <w:rPr>
          <w:rFonts w:ascii="Times New Roman" w:hAnsi="Times New Roman"/>
          <w:sz w:val="24"/>
          <w:szCs w:val="24"/>
        </w:rPr>
        <w:t>„</w:t>
      </w:r>
      <w:bookmarkEnd w:id="1"/>
      <w:r w:rsidRPr="00547E09">
        <w:rPr>
          <w:rFonts w:ascii="Times New Roman" w:hAnsi="Times New Roman"/>
          <w:b/>
          <w:bCs/>
          <w:sz w:val="24"/>
          <w:szCs w:val="24"/>
        </w:rPr>
        <w:t>Dostawa sprzętu</w:t>
      </w:r>
      <w:r>
        <w:rPr>
          <w:rFonts w:ascii="Times New Roman" w:hAnsi="Times New Roman"/>
          <w:b/>
          <w:bCs/>
          <w:sz w:val="24"/>
          <w:szCs w:val="24"/>
        </w:rPr>
        <w:t xml:space="preserve"> i urządzeń 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medyczn</w:t>
      </w:r>
      <w:r>
        <w:rPr>
          <w:rFonts w:ascii="Times New Roman" w:hAnsi="Times New Roman"/>
          <w:b/>
          <w:bCs/>
          <w:sz w:val="24"/>
          <w:szCs w:val="24"/>
        </w:rPr>
        <w:t>ych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kardiologicznych oraz do zabiegów urologicznych w 6 pakietach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547E09">
        <w:rPr>
          <w:rFonts w:ascii="Times New Roman" w:hAnsi="Times New Roman"/>
          <w:b/>
          <w:sz w:val="24"/>
          <w:szCs w:val="24"/>
        </w:rPr>
        <w:t>”</w:t>
      </w:r>
      <w:bookmarkEnd w:id="2"/>
      <w:r w:rsidRPr="00547E09">
        <w:rPr>
          <w:rFonts w:ascii="Times New Roman" w:hAnsi="Times New Roman"/>
          <w:b/>
          <w:sz w:val="24"/>
          <w:szCs w:val="24"/>
        </w:rPr>
        <w:t xml:space="preserve"> </w:t>
      </w:r>
      <w:bookmarkEnd w:id="3"/>
    </w:p>
    <w:p w14:paraId="16BFF2CA" w14:textId="77777777" w:rsidR="00B11BD3" w:rsidRDefault="00B11BD3" w:rsidP="00B11BD3">
      <w:pPr>
        <w:pStyle w:val="Tekstpodstawowy"/>
        <w:widowControl/>
        <w:overflowPunct w:val="0"/>
        <w:spacing w:after="0"/>
        <w:jc w:val="left"/>
        <w:textAlignment w:val="auto"/>
        <w:rPr>
          <w:rFonts w:cs="Times New Roman"/>
          <w:color w:val="auto"/>
          <w:sz w:val="22"/>
          <w:szCs w:val="22"/>
        </w:rPr>
      </w:pPr>
      <w:r>
        <w:rPr>
          <w:rFonts w:cs="Times New Roman"/>
          <w:color w:val="auto"/>
          <w:sz w:val="22"/>
          <w:szCs w:val="22"/>
        </w:rPr>
        <w:t xml:space="preserve">Przedmiot zamówienia obejmuje </w:t>
      </w:r>
      <w:r>
        <w:t>sprzedaż , dostawę wraz z uruchomieniem i  przeszkoleniem personelu sprzętu i urządzeń medycznych fabrycznie nowych, nie demonstracyjnych</w:t>
      </w:r>
      <w:r w:rsidRPr="003877E2">
        <w:t xml:space="preserve"> lub w jakikolwiek inny sposób wykorzystywan</w:t>
      </w:r>
      <w:r>
        <w:t>ych</w:t>
      </w:r>
      <w:r w:rsidRPr="003877E2">
        <w:t xml:space="preserve"> wcześniej</w:t>
      </w:r>
      <w:r>
        <w:t xml:space="preserve">  do Szpitala Powiatowego w Kolbuszowej, spełniających wymagania określone w SWZ - na koszt i ryzyko Wykonawcy.</w:t>
      </w:r>
    </w:p>
    <w:p w14:paraId="5CD1E4BB" w14:textId="77777777" w:rsidR="00B11BD3" w:rsidRDefault="00B11BD3" w:rsidP="00B11BD3">
      <w:pPr>
        <w:pStyle w:val="Tekstpodstawowy"/>
        <w:widowControl/>
        <w:overflowPunct w:val="0"/>
        <w:spacing w:after="0"/>
        <w:ind w:left="360"/>
        <w:textAlignment w:val="auto"/>
        <w:rPr>
          <w:rFonts w:cs="Times New Roman"/>
          <w:color w:val="auto"/>
          <w:sz w:val="22"/>
          <w:szCs w:val="22"/>
        </w:rPr>
      </w:pPr>
    </w:p>
    <w:p w14:paraId="7B40C05B" w14:textId="77777777" w:rsidR="00B11BD3" w:rsidRPr="00A173A5" w:rsidRDefault="00B11BD3" w:rsidP="00B11BD3">
      <w:pPr>
        <w:pStyle w:val="Standard"/>
        <w:rPr>
          <w:rFonts w:ascii="Times New Roman" w:eastAsia="Times New Roman" w:hAnsi="Times New Roman"/>
          <w:b/>
          <w:u w:val="single"/>
        </w:rPr>
      </w:pPr>
      <w:bookmarkStart w:id="4" w:name="_Hlk150250076"/>
      <w:bookmarkStart w:id="5" w:name="_Hlk150248802"/>
      <w:r w:rsidRPr="00A173A5">
        <w:rPr>
          <w:rFonts w:ascii="Times New Roman" w:eastAsia="Times New Roman" w:hAnsi="Times New Roman"/>
          <w:b/>
          <w:u w:val="single"/>
        </w:rPr>
        <w:t>Pakiet 1 – Resektoskop laserowy i morcelator</w:t>
      </w:r>
      <w:bookmarkEnd w:id="4"/>
      <w:r w:rsidRPr="00A173A5">
        <w:rPr>
          <w:rFonts w:ascii="Times New Roman" w:eastAsia="Times New Roman" w:hAnsi="Times New Roman"/>
          <w:b/>
          <w:u w:val="single"/>
        </w:rPr>
        <w:t xml:space="preserve"> – 1 kpt.</w:t>
      </w:r>
      <w:bookmarkEnd w:id="5"/>
    </w:p>
    <w:p w14:paraId="7E206EDF" w14:textId="77777777" w:rsidR="00B11BD3" w:rsidRDefault="00B11BD3" w:rsidP="00B11BD3">
      <w:pPr>
        <w:pStyle w:val="Bezodstpw"/>
        <w:snapToGrid w:val="0"/>
        <w:spacing w:line="276" w:lineRule="auto"/>
        <w:rPr>
          <w:rFonts w:ascii="Arial" w:hAnsi="Arial" w:cs="Arial"/>
          <w:b/>
          <w:bCs/>
        </w:rPr>
      </w:pPr>
    </w:p>
    <w:p w14:paraId="3D4A5F1E" w14:textId="77777777" w:rsidR="00B11BD3" w:rsidRDefault="00B11BD3" w:rsidP="00B11BD3">
      <w:pPr>
        <w:pStyle w:val="Akapitzlist"/>
        <w:spacing w:after="0" w:line="230" w:lineRule="auto"/>
        <w:ind w:left="427"/>
        <w:jc w:val="both"/>
        <w:rPr>
          <w:rFonts w:ascii="Times New Roman" w:eastAsia="Times New Roman" w:hAnsi="Times New Roman"/>
          <w:b/>
        </w:rPr>
      </w:pPr>
      <w:r w:rsidRPr="00172E4C">
        <w:rPr>
          <w:rFonts w:ascii="Times New Roman" w:eastAsia="Times New Roman" w:hAnsi="Times New Roman"/>
          <w:b/>
        </w:rPr>
        <w:t>Parametry:</w:t>
      </w:r>
    </w:p>
    <w:p w14:paraId="692FD059" w14:textId="77777777" w:rsidR="00B11BD3" w:rsidRPr="00B34104" w:rsidRDefault="00B11BD3" w:rsidP="00B11BD3">
      <w:pPr>
        <w:pStyle w:val="Akapitzlist"/>
        <w:spacing w:after="0" w:line="230" w:lineRule="auto"/>
        <w:ind w:left="427"/>
        <w:jc w:val="both"/>
        <w:rPr>
          <w:rFonts w:ascii="Times New Roman" w:hAnsi="Times New Roman"/>
          <w:u w:val="single"/>
        </w:rPr>
      </w:pPr>
    </w:p>
    <w:p w14:paraId="6A58C6FD" w14:textId="77777777" w:rsidR="00B11BD3" w:rsidRPr="00D56AFC" w:rsidRDefault="00B11BD3" w:rsidP="00B11BD3">
      <w:pPr>
        <w:pStyle w:val="Bezodstpw"/>
        <w:snapToGrid w:val="0"/>
        <w:spacing w:line="276" w:lineRule="auto"/>
        <w:rPr>
          <w:rFonts w:ascii="Times New Roman" w:hAnsi="Times New Roman"/>
          <w:b/>
          <w:bCs/>
        </w:rPr>
      </w:pPr>
      <w:r w:rsidRPr="00D56AFC">
        <w:rPr>
          <w:rFonts w:ascii="Times New Roman" w:hAnsi="Times New Roman"/>
          <w:b/>
          <w:bCs/>
        </w:rPr>
        <w:t>1) Zestaw resekcyjny do enukleacji laserowej i bipolarnej z możliwością zastosowania w kruszeniu kamieni  w pęcherzu- zestaw endoskopii.</w:t>
      </w:r>
    </w:p>
    <w:p w14:paraId="6AD6BDE3" w14:textId="77777777" w:rsidR="00B11BD3" w:rsidRPr="00D56AFC" w:rsidRDefault="00B11BD3" w:rsidP="00B11BD3">
      <w:pPr>
        <w:pStyle w:val="Bezodstpw"/>
        <w:snapToGrid w:val="0"/>
        <w:spacing w:line="276" w:lineRule="auto"/>
        <w:rPr>
          <w:rFonts w:ascii="Times New Roman" w:hAnsi="Times New Roman"/>
        </w:rPr>
      </w:pPr>
    </w:p>
    <w:p w14:paraId="4B3F8F78" w14:textId="77777777" w:rsidR="00B11BD3" w:rsidRDefault="00B11BD3" w:rsidP="00B11BD3">
      <w:pPr>
        <w:pStyle w:val="Akapitzlist"/>
        <w:numPr>
          <w:ilvl w:val="0"/>
          <w:numId w:val="10"/>
        </w:numPr>
        <w:suppressAutoHyphens w:val="0"/>
        <w:spacing w:after="160" w:line="259" w:lineRule="auto"/>
        <w:rPr>
          <w:rFonts w:ascii="Times New Roman" w:hAnsi="Times New Roman"/>
        </w:rPr>
      </w:pPr>
      <w:r w:rsidRPr="00D56AFC">
        <w:rPr>
          <w:rFonts w:ascii="Times New Roman" w:hAnsi="Times New Roman"/>
        </w:rPr>
        <w:t xml:space="preserve">Optyka, śr. 4 mm, kąt patrzenia 30 stopni, dł. robocza 300 mm, z uniwersalnym okularem, </w:t>
      </w:r>
    </w:p>
    <w:p w14:paraId="606FDEE9" w14:textId="77777777" w:rsidR="00B11BD3" w:rsidRPr="00D56AFC" w:rsidRDefault="00B11BD3" w:rsidP="00B11BD3">
      <w:pPr>
        <w:pStyle w:val="Akapitzlist"/>
        <w:suppressAutoHyphens w:val="0"/>
        <w:spacing w:after="160" w:line="259" w:lineRule="auto"/>
        <w:rPr>
          <w:rFonts w:ascii="Times New Roman" w:hAnsi="Times New Roman"/>
        </w:rPr>
      </w:pPr>
      <w:r w:rsidRPr="00D56AFC">
        <w:rPr>
          <w:rFonts w:ascii="Times New Roman" w:hAnsi="Times New Roman"/>
        </w:rPr>
        <w:t xml:space="preserve">autoklawowalna. Optyka musi posiadać wygrawerowany: </w:t>
      </w:r>
    </w:p>
    <w:p w14:paraId="3EC77533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>numer seryjny</w:t>
      </w:r>
    </w:p>
    <w:p w14:paraId="04E7F63B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 xml:space="preserve">informację o sterylizacji (zapis iż nadaje się do sterylizacji w Autoklawie) </w:t>
      </w:r>
    </w:p>
    <w:p w14:paraId="51DDDA99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>oznaczenie kolorystyczne średnicy podłączanego światłowodu.</w:t>
      </w:r>
    </w:p>
    <w:p w14:paraId="4717FD04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>Oznakowanie kodem data matrix lub QR</w:t>
      </w:r>
    </w:p>
    <w:p w14:paraId="7E526FB2" w14:textId="77777777" w:rsidR="00B11BD3" w:rsidRPr="00D56AFC" w:rsidRDefault="00B11BD3" w:rsidP="00B11BD3">
      <w:pPr>
        <w:pStyle w:val="Akapitzlist"/>
        <w:numPr>
          <w:ilvl w:val="0"/>
          <w:numId w:val="10"/>
        </w:numPr>
        <w:suppressAutoHyphens w:val="0"/>
        <w:spacing w:after="160" w:line="259" w:lineRule="auto"/>
        <w:rPr>
          <w:rFonts w:ascii="Times New Roman" w:hAnsi="Times New Roman"/>
        </w:rPr>
      </w:pPr>
      <w:r w:rsidRPr="00D56AFC">
        <w:rPr>
          <w:rFonts w:ascii="Times New Roman" w:hAnsi="Times New Roman"/>
        </w:rPr>
        <w:t>Kosz do mycia i sterylizacji 1 optyki :</w:t>
      </w:r>
    </w:p>
    <w:p w14:paraId="3B93F96C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 xml:space="preserve">szer. min. 59 mm, </w:t>
      </w:r>
    </w:p>
    <w:p w14:paraId="36D48485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 xml:space="preserve">dł. min. 471 mm, </w:t>
      </w:r>
    </w:p>
    <w:p w14:paraId="11ECA575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•</w:t>
      </w:r>
      <w:r w:rsidRPr="00D56AFC">
        <w:rPr>
          <w:rFonts w:ascii="Times New Roman" w:hAnsi="Times New Roman"/>
        </w:rPr>
        <w:tab/>
        <w:t xml:space="preserve">wys. 54mm, </w:t>
      </w:r>
    </w:p>
    <w:p w14:paraId="3E942364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wraz z dedykowanymi uchwytami sylikonowymi stabilizującymi optykę podczas transportu i sterylizacji.</w:t>
      </w:r>
    </w:p>
    <w:p w14:paraId="541E7B69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3. Płaszcze resektoskopu 24 /26 Charr</w:t>
      </w:r>
    </w:p>
    <w:p w14:paraId="30713AF2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Płaszcz zewnętrzny obrotowy z ciągłym przepływem 26 Charr. Dwa wymienne kraniki wykonane z tworzywa sztucznego montowane na wcisk, końcówka płaszcza ścięta wykonana z ceramiki.</w:t>
      </w:r>
    </w:p>
    <w:p w14:paraId="02EF1A8D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Płaszcz wewnętrzny o średnicy 24 Charr wraz z dedykowanym obturatorem. Sposób łączenia ze sobą płaszczy za pomocą systemu Click.</w:t>
      </w:r>
    </w:p>
    <w:p w14:paraId="29DA5563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lastRenderedPageBreak/>
        <w:t>System kompatybilny z oferowaną optyką 30 stopni, z napędem bipolarnym, napędem laserowym oraz płaszcz zewnętrzny kompatybilny z optyką operacyjną służącą do morcelacji.</w:t>
      </w:r>
    </w:p>
    <w:p w14:paraId="380A795B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4. Element roboczy aktywny bipolarny do zastosowania z oferowanymi płaszczami resektoskopów  24/26 Charr oraz oferowaną optyką 30 stopni. Przyłącze kabla bipolarnego od góry.</w:t>
      </w:r>
    </w:p>
    <w:p w14:paraId="04DE5FFE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5. Kabel wysokiej częstotliwości do oferowanego resektoskopu:</w:t>
      </w:r>
    </w:p>
    <w:p w14:paraId="62155522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bipolarny długości min 3 m kompatybilny z diatermią marki ERBE będącej w posiadaniu Zamawiającego.</w:t>
      </w:r>
    </w:p>
    <w:p w14:paraId="676FEC97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6. Światłowód, długość min 2,3m , średnica wiązki 2,5 mm kompatybilny z oferowanymi optykami i posiadanymi źródłami światła przez Zamawiającego marki R.Wolf</w:t>
      </w:r>
    </w:p>
    <w:p w14:paraId="4BD444A1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7. Napęd laserowy do płaszczy 24/26 i optyki 30 stopni wraz z rurką do prowadzenia włókna laserowego. Końcówka rurki ścięta do do rozmiarów włóka  o średnicy max. 600 μm</w:t>
      </w:r>
    </w:p>
    <w:p w14:paraId="2959C448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8. Wkładka robocza, przepływowa z kranikiem ,dedykowana  dla instrumentów pomocniczych o średnicy max. 7,5 Charr. Koniec wkładki posiadający blaszkę fiksującą włókno lasera.</w:t>
      </w:r>
    </w:p>
    <w:p w14:paraId="73CBD84B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9. Adapter do optyki morcelatora– 1 szt</w:t>
      </w:r>
    </w:p>
    <w:p w14:paraId="6E35A2CA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10. Pojemnik do transportu, przechowywania i sterylizacji instrumentów i optyk, wymiary wew. min. 300x200x60mm mieszczący cały oferowany zestaw.</w:t>
      </w:r>
    </w:p>
    <w:p w14:paraId="1AB30ECE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11. Startowy zestaw elektrod bipolarnych:</w:t>
      </w:r>
    </w:p>
    <w:p w14:paraId="624BAC35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 Elektroda tnąca, bipolarna, wielorazowa, do optyk o śr. 4 mm i kącie patrzenia 12 i 30°, petla okrągła o śr. 0,3 mm, - 3 szt</w:t>
      </w:r>
    </w:p>
    <w:p w14:paraId="0C1A5003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Elektroda koagulująca bipolarna, wielorazowa, do optyk o śr. 4 mm i kącie patrzenia 12 i 30° - 2 szt</w:t>
      </w:r>
    </w:p>
    <w:p w14:paraId="687C4600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Elektroda bipolarna enukleacyjna tzw. grzybkowa. – 1 szt</w:t>
      </w:r>
    </w:p>
    <w:p w14:paraId="02964FB6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Elektroda bipolarna waporyzacyjna – 1 szt</w:t>
      </w:r>
    </w:p>
    <w:p w14:paraId="5B7CA732" w14:textId="77777777" w:rsidR="00B11BD3" w:rsidRPr="00D56AFC" w:rsidRDefault="00B11BD3" w:rsidP="00B11BD3">
      <w:pPr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2) </w:t>
      </w:r>
      <w:r w:rsidRPr="00D56AFC">
        <w:rPr>
          <w:rFonts w:ascii="Times New Roman" w:hAnsi="Times New Roman"/>
          <w:b/>
          <w:bCs/>
          <w:u w:val="single"/>
        </w:rPr>
        <w:t>Morcelator Urologiczny</w:t>
      </w:r>
    </w:p>
    <w:p w14:paraId="58271E34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12. Morcelator przezcewkowy składający się z :</w:t>
      </w:r>
    </w:p>
    <w:p w14:paraId="6FBE9717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Konsoli do obsługi Shavera Urologicznego</w:t>
      </w:r>
    </w:p>
    <w:p w14:paraId="7DB74443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- Pompy kompatybijnej z oferowanym Shaverem</w:t>
      </w:r>
    </w:p>
    <w:p w14:paraId="7AC2C8BB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13. Pompa ssąca do odsysania płynu irygacyjnego i tkanki, sterowana mikroprocesorowo, z wyświetlaczem LCD na panelu przednim, ciśnienie ssania w zakresie min 650-750mbar, waga max 9kg, z wyświetlanymi po uruchomieniu na ekranie podpowiedziami ukazującymi „krok po kroku” poszczególne etapy instalacji i podłączania drenów itd., ciągły tryb pracy ssania podczas pracy morcelatora, uruchamianie ssania i pracy morcelatora za pomocą dołączonego min dwufunkcyjnego pedału – 1 kpl</w:t>
      </w:r>
    </w:p>
    <w:p w14:paraId="1D9B9AA8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14. Przycisk nożny składający się z jednoklapkowego min. dwufunkcyjnego padała.</w:t>
      </w:r>
    </w:p>
    <w:p w14:paraId="7588E815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lastRenderedPageBreak/>
        <w:t xml:space="preserve">15. Osobna sekwencja przycisku odpowiedzialna za uruchomienie funkcji ssania, osobna za uruchomienie funkcji ssania z jednoczesnym uruchomieniem rotacyjnej lub obrotowej funkcji shavera. W ramach jednoklapkowego przycisku dostępne min. dwie niezależne funkcje. </w:t>
      </w:r>
    </w:p>
    <w:p w14:paraId="203C71A8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16. Generator  shavera z ekranem LCD. Wyświetlacz z pokazaniem prędkości minimalnej, zadanej, maksymalnej oraz aktualnego kierunku obrotu oraz aktualnej prędkości. Min. 4 prędkości do wyboru. Wybór z panelu sterowania szybkości i kierunku obrotów lub oscylacji</w:t>
      </w:r>
    </w:p>
    <w:p w14:paraId="49E0EF9B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17. Rączka-napęd do współpracy z generatorem i oferowanymi nożami morcelującymi</w:t>
      </w:r>
    </w:p>
    <w:p w14:paraId="5554E247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 xml:space="preserve">18. Frez morcelatora, wielokrotnego użytku, średnica max 480 mm, </w:t>
      </w:r>
      <w:r>
        <w:rPr>
          <w:rFonts w:ascii="Times New Roman" w:hAnsi="Times New Roman"/>
        </w:rPr>
        <w:t xml:space="preserve">dostępny w dwóch długościach: </w:t>
      </w:r>
      <w:r w:rsidRPr="00D56AFC">
        <w:rPr>
          <w:rFonts w:ascii="Times New Roman" w:hAnsi="Times New Roman"/>
        </w:rPr>
        <w:t>długość robocza 350</w:t>
      </w:r>
      <w:r>
        <w:rPr>
          <w:rFonts w:ascii="Times New Roman" w:hAnsi="Times New Roman"/>
        </w:rPr>
        <w:t xml:space="preserve"> i </w:t>
      </w:r>
      <w:r w:rsidRPr="00D56AFC">
        <w:rPr>
          <w:rFonts w:ascii="Times New Roman" w:hAnsi="Times New Roman"/>
        </w:rPr>
        <w:t>385 mm</w:t>
      </w:r>
      <w:r>
        <w:rPr>
          <w:rFonts w:ascii="Times New Roman" w:hAnsi="Times New Roman"/>
        </w:rPr>
        <w:t xml:space="preserve"> </w:t>
      </w:r>
      <w:r w:rsidRPr="00D56AFC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po </w:t>
      </w:r>
      <w:r w:rsidRPr="00D56AFC">
        <w:rPr>
          <w:rFonts w:ascii="Times New Roman" w:hAnsi="Times New Roman"/>
        </w:rPr>
        <w:t>1 szt</w:t>
      </w:r>
    </w:p>
    <w:p w14:paraId="347996E2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19. Kompatybilne frezy z oferowanym Morcelatorem wielorazowe i jednorazowe.</w:t>
      </w:r>
    </w:p>
    <w:p w14:paraId="379E34D1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20. Zestaw drenów jednorazowych do pompy, opakowanie min. 10 szt. – 1 kpl</w:t>
      </w:r>
    </w:p>
    <w:p w14:paraId="4B5D122A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21. Pojemnik zatrzymujący kawałki tkanki do badania laboratoryjnego, zakładany na pojemnik na odessany płyn. Jednorazowy - opakowanie min. 10 szt. – 1 kpl</w:t>
      </w:r>
    </w:p>
    <w:p w14:paraId="4C8E9FBC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22. Optyka operacyjna tzw krzesełkowa dedykowana do pracy z frezem morcelatora – 1 szt.</w:t>
      </w:r>
    </w:p>
    <w:p w14:paraId="1692DE45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 xml:space="preserve"> Kąt patrzenia optyki 0°, </w:t>
      </w:r>
    </w:p>
    <w:p w14:paraId="1B65B0EB" w14:textId="77777777" w:rsidR="00B11BD3" w:rsidRPr="00D56AFC" w:rsidRDefault="00B11BD3" w:rsidP="00B11BD3">
      <w:pPr>
        <w:rPr>
          <w:rFonts w:ascii="Times New Roman" w:hAnsi="Times New Roman"/>
        </w:rPr>
      </w:pPr>
      <w:r w:rsidRPr="00D56AFC">
        <w:rPr>
          <w:rFonts w:ascii="Times New Roman" w:hAnsi="Times New Roman"/>
        </w:rPr>
        <w:t>23. Port roboczy do wprowadzenia frezu o średnicy 5 mm zakończony membraną oraz uszczelką.</w:t>
      </w:r>
    </w:p>
    <w:p w14:paraId="2740F586" w14:textId="77777777" w:rsidR="00B11BD3" w:rsidRPr="00D56AFC" w:rsidRDefault="00B11BD3" w:rsidP="00B11BD3">
      <w:pPr>
        <w:pStyle w:val="Bezodstpw"/>
        <w:snapToGrid w:val="0"/>
        <w:spacing w:line="276" w:lineRule="auto"/>
        <w:rPr>
          <w:rFonts w:ascii="Times New Roman" w:hAnsi="Times New Roman"/>
        </w:rPr>
      </w:pPr>
      <w:r w:rsidRPr="00D56AFC">
        <w:rPr>
          <w:rFonts w:ascii="Times New Roman" w:hAnsi="Times New Roman"/>
        </w:rPr>
        <w:t>24. Optyka wyposażona w kanał irygacyjne zakończony kranikiem.</w:t>
      </w:r>
    </w:p>
    <w:p w14:paraId="0217DA78" w14:textId="77777777" w:rsidR="00B11BD3" w:rsidRPr="00D56AFC" w:rsidRDefault="00B11BD3" w:rsidP="00B11BD3">
      <w:pPr>
        <w:spacing w:after="0" w:line="230" w:lineRule="auto"/>
        <w:jc w:val="both"/>
        <w:rPr>
          <w:rFonts w:ascii="Times New Roman" w:hAnsi="Times New Roman"/>
          <w:u w:val="single"/>
        </w:rPr>
      </w:pPr>
    </w:p>
    <w:p w14:paraId="6824D754" w14:textId="77777777" w:rsidR="00B11BD3" w:rsidRPr="005342DF" w:rsidRDefault="00B11BD3" w:rsidP="00B11BD3">
      <w:pPr>
        <w:spacing w:after="0" w:line="230" w:lineRule="auto"/>
        <w:jc w:val="both"/>
        <w:rPr>
          <w:rFonts w:ascii="Times New Roman" w:hAnsi="Times New Roman"/>
        </w:rPr>
      </w:pPr>
      <w:r w:rsidRPr="005342DF">
        <w:rPr>
          <w:rFonts w:ascii="Times New Roman" w:hAnsi="Times New Roman"/>
        </w:rPr>
        <w:t xml:space="preserve">25. </w:t>
      </w:r>
      <w:r>
        <w:rPr>
          <w:rFonts w:asciiTheme="majorBidi" w:hAnsiTheme="majorBidi" w:cstheme="majorBidi"/>
        </w:rPr>
        <w:t>Wymagany min. o</w:t>
      </w:r>
      <w:r w:rsidRPr="00142449">
        <w:rPr>
          <w:rFonts w:asciiTheme="majorBidi" w:hAnsiTheme="majorBidi" w:cstheme="majorBidi"/>
        </w:rPr>
        <w:t xml:space="preserve">kres gwarancji </w:t>
      </w:r>
      <w:r>
        <w:rPr>
          <w:rFonts w:asciiTheme="majorBidi" w:hAnsiTheme="majorBidi" w:cstheme="majorBidi"/>
        </w:rPr>
        <w:t xml:space="preserve"> i rękojmi </w:t>
      </w:r>
      <w:r w:rsidRPr="00142449">
        <w:rPr>
          <w:rFonts w:asciiTheme="majorBidi" w:hAnsiTheme="majorBidi" w:cstheme="majorBidi"/>
        </w:rPr>
        <w:t xml:space="preserve">na </w:t>
      </w:r>
      <w:r>
        <w:rPr>
          <w:rFonts w:asciiTheme="majorBidi" w:hAnsiTheme="majorBidi" w:cstheme="majorBidi"/>
        </w:rPr>
        <w:t>sprzęt</w:t>
      </w:r>
      <w:r w:rsidRPr="00142449">
        <w:rPr>
          <w:rFonts w:asciiTheme="majorBidi" w:hAnsiTheme="majorBidi" w:cstheme="majorBidi"/>
        </w:rPr>
        <w:t xml:space="preserve"> minimum 24 miesiące</w:t>
      </w:r>
      <w:r>
        <w:rPr>
          <w:rFonts w:asciiTheme="majorBidi" w:hAnsiTheme="majorBidi" w:cstheme="majorBidi"/>
        </w:rPr>
        <w:t xml:space="preserve">. – </w:t>
      </w:r>
      <w:r w:rsidRPr="000C4981">
        <w:rPr>
          <w:rFonts w:asciiTheme="majorBidi" w:hAnsiTheme="majorBidi" w:cstheme="majorBidi"/>
          <w:b/>
          <w:bCs/>
          <w:i/>
          <w:iCs/>
        </w:rPr>
        <w:t>podanie dłuższego okresu gwarancyjnego stanowi II Kryterium wyboru oferty</w:t>
      </w:r>
    </w:p>
    <w:p w14:paraId="68659206" w14:textId="77777777" w:rsidR="00B11BD3" w:rsidRDefault="00B11BD3" w:rsidP="00B11BD3">
      <w:pPr>
        <w:pStyle w:val="Akapitzlist"/>
        <w:spacing w:after="0" w:line="230" w:lineRule="auto"/>
        <w:ind w:left="427"/>
        <w:jc w:val="both"/>
        <w:rPr>
          <w:rFonts w:ascii="Times New Roman" w:hAnsi="Times New Roman"/>
          <w:u w:val="single"/>
        </w:rPr>
      </w:pPr>
    </w:p>
    <w:p w14:paraId="1B9FDF3A" w14:textId="77777777" w:rsidR="00B11BD3" w:rsidRPr="007B2658" w:rsidRDefault="00B11BD3" w:rsidP="00B11BD3">
      <w:pPr>
        <w:pStyle w:val="Akapitzlist"/>
        <w:spacing w:after="0" w:line="230" w:lineRule="auto"/>
        <w:ind w:left="427"/>
        <w:jc w:val="both"/>
        <w:rPr>
          <w:rFonts w:ascii="Times New Roman" w:hAnsi="Times New Roman"/>
          <w:u w:val="single"/>
        </w:rPr>
      </w:pPr>
      <w:r w:rsidRPr="007B2658">
        <w:rPr>
          <w:rFonts w:ascii="Times New Roman" w:hAnsi="Times New Roman"/>
          <w:u w:val="single"/>
        </w:rPr>
        <w:t xml:space="preserve">Szczegółowe wymagane parametry zawiera zestawienie warunków i parametrów wymaganych – zał. </w:t>
      </w:r>
      <w:r>
        <w:rPr>
          <w:rFonts w:ascii="Times New Roman" w:hAnsi="Times New Roman"/>
          <w:u w:val="single"/>
        </w:rPr>
        <w:t>9</w:t>
      </w:r>
      <w:r w:rsidRPr="007B2658">
        <w:rPr>
          <w:rFonts w:ascii="Times New Roman" w:hAnsi="Times New Roman"/>
          <w:u w:val="single"/>
        </w:rPr>
        <w:t xml:space="preserve">.1 do SWZ </w:t>
      </w:r>
    </w:p>
    <w:p w14:paraId="5F436EE3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3901EADC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199BBF15" w14:textId="77777777" w:rsidR="00B11BD3" w:rsidRPr="00A173A5" w:rsidRDefault="00B11BD3" w:rsidP="00B11BD3">
      <w:pPr>
        <w:pStyle w:val="Standard"/>
        <w:rPr>
          <w:rFonts w:ascii="Times New Roman" w:hAnsi="Times New Roman"/>
          <w:u w:val="single"/>
        </w:rPr>
      </w:pPr>
      <w:bookmarkStart w:id="6" w:name="_Hlk104544227"/>
      <w:bookmarkStart w:id="7" w:name="_Hlk104363038"/>
      <w:bookmarkStart w:id="8" w:name="_Hlk150248836"/>
      <w:bookmarkStart w:id="9" w:name="_Hlk150246904"/>
      <w:r w:rsidRPr="00A173A5">
        <w:rPr>
          <w:b/>
          <w:u w:val="single"/>
        </w:rPr>
        <w:t>Pakiet 2 – Aparat do litotrypsji złogów</w:t>
      </w:r>
      <w:r w:rsidRPr="00A173A5">
        <w:rPr>
          <w:rFonts w:ascii="Times New Roman" w:eastAsia="Times New Roman" w:hAnsi="Times New Roman"/>
          <w:b/>
          <w:u w:val="single"/>
        </w:rPr>
        <w:t xml:space="preserve">  </w:t>
      </w:r>
      <w:bookmarkEnd w:id="6"/>
      <w:r w:rsidRPr="00A173A5">
        <w:rPr>
          <w:rFonts w:ascii="Times New Roman" w:eastAsia="Times New Roman" w:hAnsi="Times New Roman"/>
          <w:b/>
          <w:u w:val="single"/>
        </w:rPr>
        <w:t xml:space="preserve">- 1 </w:t>
      </w:r>
      <w:bookmarkEnd w:id="7"/>
      <w:r w:rsidRPr="00A173A5">
        <w:rPr>
          <w:rFonts w:ascii="Times New Roman" w:eastAsia="Times New Roman" w:hAnsi="Times New Roman"/>
          <w:b/>
          <w:u w:val="single"/>
        </w:rPr>
        <w:t>kpt.</w:t>
      </w:r>
      <w:bookmarkEnd w:id="8"/>
    </w:p>
    <w:bookmarkEnd w:id="9"/>
    <w:p w14:paraId="06FE5536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66179E27" w14:textId="77777777" w:rsidR="00B11BD3" w:rsidRPr="00172E4C" w:rsidRDefault="00B11BD3" w:rsidP="00B11BD3">
      <w:pPr>
        <w:pStyle w:val="Standard"/>
        <w:rPr>
          <w:rFonts w:ascii="Times New Roman" w:eastAsia="Times New Roman" w:hAnsi="Times New Roman" w:cs="Times New Roman"/>
          <w:b/>
        </w:rPr>
      </w:pPr>
      <w:r w:rsidRPr="00172E4C">
        <w:rPr>
          <w:rFonts w:ascii="Times New Roman" w:eastAsia="Times New Roman" w:hAnsi="Times New Roman" w:cs="Times New Roman"/>
          <w:b/>
        </w:rPr>
        <w:t>Parametry:</w:t>
      </w:r>
    </w:p>
    <w:p w14:paraId="331B3E72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1.</w:t>
      </w:r>
      <w:r>
        <w:rPr>
          <w:rFonts w:asciiTheme="majorBidi" w:hAnsiTheme="majorBidi" w:cstheme="majorBidi"/>
        </w:rPr>
        <w:t xml:space="preserve"> </w:t>
      </w:r>
      <w:r w:rsidRPr="00142449">
        <w:rPr>
          <w:rFonts w:asciiTheme="majorBidi" w:hAnsiTheme="majorBidi" w:cstheme="majorBidi"/>
        </w:rPr>
        <w:t>Zestaw do urologicznej litotrypsji endoskopowej</w:t>
      </w:r>
      <w:r>
        <w:rPr>
          <w:rFonts w:asciiTheme="majorBidi" w:hAnsiTheme="majorBidi" w:cstheme="majorBidi"/>
        </w:rPr>
        <w:t xml:space="preserve"> typu Lithoclast,</w:t>
      </w:r>
      <w:r w:rsidRPr="00142449">
        <w:rPr>
          <w:rFonts w:asciiTheme="majorBidi" w:hAnsiTheme="majorBidi" w:cstheme="majorBidi"/>
        </w:rPr>
        <w:t xml:space="preserve"> umożliwiający litotrypsję w całym układzie moczowym: pęcherz, moczowód i nerki, dostosowany do pracy z wszystkimi popularnymi rodzajami sztywnych endoskopów urologicznych o prostym kanale roboczym i bocznej optyce. Zestaw po instalacji gotowy do wykonywania zabiegów bez dodatkowych zakupów.</w:t>
      </w:r>
    </w:p>
    <w:p w14:paraId="3737740E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 </w:t>
      </w:r>
      <w:r w:rsidRPr="00142449">
        <w:rPr>
          <w:rFonts w:asciiTheme="majorBidi" w:hAnsiTheme="majorBidi" w:cstheme="majorBidi"/>
        </w:rPr>
        <w:t>Aparat fabrycznie nowy, pochodzący z bieżącej produkcji (wyklucza się zaoferowanie urządzenia demo lub powystawowego).</w:t>
      </w:r>
    </w:p>
    <w:p w14:paraId="656C125A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3. </w:t>
      </w:r>
      <w:r w:rsidRPr="00142449">
        <w:rPr>
          <w:rFonts w:asciiTheme="majorBidi" w:hAnsiTheme="majorBidi" w:cstheme="majorBidi"/>
        </w:rPr>
        <w:t>Typ litotryptora: balistyczny i  ultradźwiękowy</w:t>
      </w:r>
    </w:p>
    <w:p w14:paraId="7E08FBA8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4. </w:t>
      </w:r>
      <w:r w:rsidRPr="00142449">
        <w:rPr>
          <w:rFonts w:asciiTheme="majorBidi" w:hAnsiTheme="majorBidi" w:cstheme="majorBidi"/>
        </w:rPr>
        <w:t>Przeznaczenie litotryptora:</w:t>
      </w:r>
    </w:p>
    <w:p w14:paraId="39AB4AA0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Litotrypsja kamieni w pęcherzu moczowym</w:t>
      </w:r>
    </w:p>
    <w:p w14:paraId="7B5AB9DB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Litotrypsja kamieni w moczowodzie</w:t>
      </w:r>
    </w:p>
    <w:p w14:paraId="62990FAD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lastRenderedPageBreak/>
        <w:t>•</w:t>
      </w:r>
      <w:r w:rsidRPr="00142449">
        <w:rPr>
          <w:rFonts w:asciiTheme="majorBidi" w:hAnsiTheme="majorBidi" w:cstheme="majorBidi"/>
        </w:rPr>
        <w:tab/>
        <w:t xml:space="preserve">Litotrypsja kamieni w nerkach </w:t>
      </w:r>
    </w:p>
    <w:p w14:paraId="24FB4946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3. </w:t>
      </w:r>
      <w:r w:rsidRPr="00142449">
        <w:rPr>
          <w:rFonts w:asciiTheme="majorBidi" w:hAnsiTheme="majorBidi" w:cstheme="majorBidi"/>
        </w:rPr>
        <w:t xml:space="preserve">Zintegrowane w jednej obudowie moduły litotrypsji balistycznej i ultradźwiękowej </w:t>
      </w:r>
    </w:p>
    <w:p w14:paraId="5736CBB5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4. </w:t>
      </w:r>
      <w:r w:rsidRPr="00142449">
        <w:rPr>
          <w:rFonts w:asciiTheme="majorBidi" w:hAnsiTheme="majorBidi" w:cstheme="majorBidi"/>
        </w:rPr>
        <w:t>Pompa ssąca do litotrypsji zintegrowana z litotryptorem</w:t>
      </w:r>
    </w:p>
    <w:p w14:paraId="6C31D151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5. </w:t>
      </w:r>
      <w:r w:rsidRPr="00142449">
        <w:rPr>
          <w:rFonts w:asciiTheme="majorBidi" w:hAnsiTheme="majorBidi" w:cstheme="majorBidi"/>
        </w:rPr>
        <w:t>Możliwość wykonywania i wyboru rodzaju litotrypsji :</w:t>
      </w:r>
    </w:p>
    <w:p w14:paraId="4E380636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 xml:space="preserve">tylko balistyczna </w:t>
      </w:r>
    </w:p>
    <w:p w14:paraId="56533423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 xml:space="preserve">tylko ultradźwiękowa </w:t>
      </w:r>
    </w:p>
    <w:p w14:paraId="5103F97B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łączona: balistyczna i ultradźwiękowa równocześnie</w:t>
      </w:r>
    </w:p>
    <w:p w14:paraId="2086CA90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5. </w:t>
      </w:r>
      <w:r w:rsidRPr="00142449">
        <w:rPr>
          <w:rFonts w:asciiTheme="majorBidi" w:hAnsiTheme="majorBidi" w:cstheme="majorBidi"/>
        </w:rPr>
        <w:t>Energia krusząca balistyczna, ultradźwiękowa oraz odsysanie podczas zabiegu litotrypsji realizowane za pośrednictwem jednej głowicy i jednej sondy kruszącej</w:t>
      </w:r>
    </w:p>
    <w:p w14:paraId="6E15B8D9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6. </w:t>
      </w:r>
      <w:r w:rsidRPr="00142449">
        <w:rPr>
          <w:rFonts w:asciiTheme="majorBidi" w:hAnsiTheme="majorBidi" w:cstheme="majorBidi"/>
        </w:rPr>
        <w:t>Zasilanie litotryptora: 100-240V AC, 50-60Hz</w:t>
      </w:r>
    </w:p>
    <w:p w14:paraId="5261420F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7. </w:t>
      </w:r>
      <w:r w:rsidRPr="00142449">
        <w:rPr>
          <w:rFonts w:asciiTheme="majorBidi" w:hAnsiTheme="majorBidi" w:cstheme="majorBidi"/>
        </w:rPr>
        <w:t>Interfejs użytkownika w postaci kolorowego, dotykowego ekranu LCD</w:t>
      </w:r>
    </w:p>
    <w:p w14:paraId="78302292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8. </w:t>
      </w:r>
      <w:r w:rsidRPr="00142449">
        <w:rPr>
          <w:rFonts w:asciiTheme="majorBidi" w:hAnsiTheme="majorBidi" w:cstheme="majorBidi"/>
        </w:rPr>
        <w:t>Interfejs użytkownika w języku polskim</w:t>
      </w:r>
    </w:p>
    <w:p w14:paraId="69AB352C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9. </w:t>
      </w:r>
      <w:r w:rsidRPr="00142449">
        <w:rPr>
          <w:rFonts w:asciiTheme="majorBidi" w:hAnsiTheme="majorBidi" w:cstheme="majorBidi"/>
        </w:rPr>
        <w:t>Złącze HDMI wbudowane w litotryptor, umożliwiające podłączenie do endoskopowego toru wizyjnego i wyświetlanie na jego ekranie bieżących ustawień parametrów litotrypsji</w:t>
      </w:r>
    </w:p>
    <w:p w14:paraId="6823B5D2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10. </w:t>
      </w:r>
      <w:r w:rsidRPr="00142449">
        <w:rPr>
          <w:rFonts w:asciiTheme="majorBidi" w:hAnsiTheme="majorBidi" w:cstheme="majorBidi"/>
        </w:rPr>
        <w:t xml:space="preserve">Układ monitorujący efektywność litotrypsji, wyświetlający w czasie rzeczywistym na ekranie urządzenia graficzny wskaźnik obrazujący skuteczność kruszenia </w:t>
      </w:r>
    </w:p>
    <w:p w14:paraId="3D031527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11. </w:t>
      </w:r>
      <w:r w:rsidRPr="00142449">
        <w:rPr>
          <w:rFonts w:asciiTheme="majorBidi" w:hAnsiTheme="majorBidi" w:cstheme="majorBidi"/>
        </w:rPr>
        <w:t>Predefiniowane programy (zestawy ustawień parametrów litotrypsji) do litotrypsji:</w:t>
      </w:r>
    </w:p>
    <w:p w14:paraId="3A4F472B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kamieni twardych</w:t>
      </w:r>
    </w:p>
    <w:p w14:paraId="0E6A19D6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kamieni miękkich</w:t>
      </w:r>
    </w:p>
    <w:p w14:paraId="176DD8B9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12. </w:t>
      </w:r>
      <w:r w:rsidRPr="00142449">
        <w:rPr>
          <w:rFonts w:asciiTheme="majorBidi" w:hAnsiTheme="majorBidi" w:cstheme="majorBidi"/>
        </w:rPr>
        <w:t>Litotryptor i głowica krusząca wyposażone w układ aktywnego chłodzenia cieczą, zapobiegający przegrzewaniu głowicy</w:t>
      </w:r>
    </w:p>
    <w:p w14:paraId="6C1FEA9A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13. </w:t>
      </w:r>
      <w:r w:rsidRPr="00142449">
        <w:rPr>
          <w:rFonts w:asciiTheme="majorBidi" w:hAnsiTheme="majorBidi" w:cstheme="majorBidi"/>
        </w:rPr>
        <w:t>Mechanizm blokujący w trakcie trwania zabiegu litotrypsji połączenie między wtyczką kabla głowicy kruszącej a litotryptorem, zapobiegający przypadkowemu odłączeniu głowicy od litotryptora</w:t>
      </w:r>
    </w:p>
    <w:p w14:paraId="1F77F508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14. </w:t>
      </w:r>
      <w:r w:rsidRPr="00142449">
        <w:rPr>
          <w:rFonts w:asciiTheme="majorBidi" w:hAnsiTheme="majorBidi" w:cstheme="majorBidi"/>
        </w:rPr>
        <w:t>Litotryptor wyposażony w układ RF-ID umożliwiający:</w:t>
      </w:r>
    </w:p>
    <w:p w14:paraId="57FFFAB6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rozpoznawanie czy głowica krusząca jest podłączona do aparatu</w:t>
      </w:r>
    </w:p>
    <w:p w14:paraId="12420AE9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rozpoznawanie rodzaju sondy kruszącej podłączonej do głowicy</w:t>
      </w:r>
    </w:p>
    <w:p w14:paraId="0AA94A9D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15. </w:t>
      </w:r>
      <w:r w:rsidRPr="00142449">
        <w:rPr>
          <w:rFonts w:asciiTheme="majorBidi" w:hAnsiTheme="majorBidi" w:cstheme="majorBidi"/>
        </w:rPr>
        <w:t>Litotryptor wyposażony w funkcję gromadzenia i wyświetlania statystyk dotyczących:</w:t>
      </w:r>
    </w:p>
    <w:p w14:paraId="1BA024D5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użycia litotryptora</w:t>
      </w:r>
    </w:p>
    <w:p w14:paraId="69B1B0E7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użycia głowicy kruszącej</w:t>
      </w:r>
    </w:p>
    <w:p w14:paraId="60DC9097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użycia sond kruszących</w:t>
      </w:r>
    </w:p>
    <w:p w14:paraId="08A3E8AB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16. </w:t>
      </w:r>
      <w:r w:rsidRPr="00142449">
        <w:rPr>
          <w:rFonts w:asciiTheme="majorBidi" w:hAnsiTheme="majorBidi" w:cstheme="majorBidi"/>
        </w:rPr>
        <w:t>Litotryptor wyposażony w funkcję automatycznego ustawiania zalecanych parametrów litotrypsji, odpowiednich dla rodzaju podłączonej sondy kruszącej</w:t>
      </w:r>
    </w:p>
    <w:p w14:paraId="1321AC9C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17. </w:t>
      </w:r>
      <w:r w:rsidRPr="00142449">
        <w:rPr>
          <w:rFonts w:asciiTheme="majorBidi" w:hAnsiTheme="majorBidi" w:cstheme="majorBidi"/>
        </w:rPr>
        <w:t>Regulacja częstotliwości balistycznych impulsów kruszących w zakresie 1 – 12 Hz, w odstępach co 1 Hz</w:t>
      </w:r>
    </w:p>
    <w:p w14:paraId="0DE790E6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18. </w:t>
      </w:r>
      <w:r w:rsidRPr="00142449">
        <w:rPr>
          <w:rFonts w:asciiTheme="majorBidi" w:hAnsiTheme="majorBidi" w:cstheme="majorBidi"/>
        </w:rPr>
        <w:t>Regulacja mocy balistycznych impulsów kruszących w zakresie 10-100%, w odstępach co 10%</w:t>
      </w:r>
    </w:p>
    <w:p w14:paraId="07AE9230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19. </w:t>
      </w:r>
      <w:r w:rsidRPr="00142449">
        <w:rPr>
          <w:rFonts w:asciiTheme="majorBidi" w:hAnsiTheme="majorBidi" w:cstheme="majorBidi"/>
        </w:rPr>
        <w:t>Wyświetlanie ustawionych parametrów litotrypsji balistycznej (moc, częstotliwość) podczas zabiegu na ekranie litotryptora</w:t>
      </w:r>
    </w:p>
    <w:p w14:paraId="4F2AEB9E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0. </w:t>
      </w:r>
      <w:r w:rsidRPr="00142449">
        <w:rPr>
          <w:rFonts w:asciiTheme="majorBidi" w:hAnsiTheme="majorBidi" w:cstheme="majorBidi"/>
        </w:rPr>
        <w:t>Regulacja mocy ultradźwiękowych impulsów kruszących w zakresie 10-100%, w odstępach co 10%</w:t>
      </w:r>
    </w:p>
    <w:p w14:paraId="3C9DDE5F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1. </w:t>
      </w:r>
      <w:r w:rsidRPr="00142449">
        <w:rPr>
          <w:rFonts w:asciiTheme="majorBidi" w:hAnsiTheme="majorBidi" w:cstheme="majorBidi"/>
        </w:rPr>
        <w:t>Wyświetlanie ustawionej mocy energii ultradźwiękowej podczas zabiegu na ekranie litotryptora</w:t>
      </w:r>
    </w:p>
    <w:p w14:paraId="0F68B16A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2. </w:t>
      </w:r>
      <w:r w:rsidRPr="00142449">
        <w:rPr>
          <w:rFonts w:asciiTheme="majorBidi" w:hAnsiTheme="majorBidi" w:cstheme="majorBidi"/>
        </w:rPr>
        <w:t>Regulacja siły ssania w zakresie 10-100%, w odstępach co 10%</w:t>
      </w:r>
    </w:p>
    <w:p w14:paraId="3E6AED40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3. </w:t>
      </w:r>
      <w:r w:rsidRPr="00142449">
        <w:rPr>
          <w:rFonts w:asciiTheme="majorBidi" w:hAnsiTheme="majorBidi" w:cstheme="majorBidi"/>
        </w:rPr>
        <w:t>Wyświetlanie ustawionej siły ssania podczas zabiegu na ekranie litotryptora</w:t>
      </w:r>
    </w:p>
    <w:p w14:paraId="271C7D81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4. </w:t>
      </w:r>
      <w:r w:rsidRPr="00142449">
        <w:rPr>
          <w:rFonts w:asciiTheme="majorBidi" w:hAnsiTheme="majorBidi" w:cstheme="majorBidi"/>
        </w:rPr>
        <w:t>Możliwość jednoczesnego odsysania płynu i fragmentów kamieni z miejsca operacyjnego podczas litotrypsji ultradźwiękowej, balistycznej i łączonej (balistyczno – ultradźwiękowej)</w:t>
      </w:r>
    </w:p>
    <w:p w14:paraId="0B077BC2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5. </w:t>
      </w:r>
      <w:r w:rsidRPr="00142449">
        <w:rPr>
          <w:rFonts w:asciiTheme="majorBidi" w:hAnsiTheme="majorBidi" w:cstheme="majorBidi"/>
        </w:rPr>
        <w:t>Zintegrowany z aparatem mechanizm automatycznie uruchamiający ssanie w momencie wyzwolenia energii kruszącej i wyłączający je w momencie dezaktywacji energii kruszącej</w:t>
      </w:r>
    </w:p>
    <w:p w14:paraId="3923764D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2</w:t>
      </w:r>
      <w:r>
        <w:rPr>
          <w:rFonts w:asciiTheme="majorBidi" w:hAnsiTheme="majorBidi" w:cstheme="majorBidi"/>
        </w:rPr>
        <w:t xml:space="preserve">6. </w:t>
      </w:r>
      <w:r w:rsidRPr="00142449">
        <w:rPr>
          <w:rFonts w:asciiTheme="majorBidi" w:hAnsiTheme="majorBidi" w:cstheme="majorBidi"/>
        </w:rPr>
        <w:t>Sterowanie każdym rodzajem energii kruszącej i odsysaniem za pomocą jednego zintegrowanego kontrolera podłogowego</w:t>
      </w:r>
    </w:p>
    <w:p w14:paraId="207E43FD" w14:textId="77777777" w:rsidR="00B11BD3" w:rsidRPr="00483A77" w:rsidRDefault="00B11BD3" w:rsidP="00B11BD3">
      <w:pPr>
        <w:rPr>
          <w:rFonts w:asciiTheme="majorBidi" w:hAnsiTheme="majorBidi" w:cstheme="majorBidi"/>
          <w:b/>
          <w:bCs/>
          <w:u w:val="single"/>
        </w:rPr>
      </w:pPr>
      <w:r w:rsidRPr="00483A77">
        <w:rPr>
          <w:rFonts w:asciiTheme="majorBidi" w:hAnsiTheme="majorBidi" w:cstheme="majorBidi"/>
          <w:b/>
          <w:bCs/>
          <w:u w:val="single"/>
        </w:rPr>
        <w:t>WYPOSAŻENIE</w:t>
      </w:r>
    </w:p>
    <w:p w14:paraId="2702F67C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1</w:t>
      </w:r>
      <w:r>
        <w:rPr>
          <w:rFonts w:asciiTheme="majorBidi" w:hAnsiTheme="majorBidi" w:cstheme="majorBidi"/>
        </w:rPr>
        <w:t xml:space="preserve">. </w:t>
      </w:r>
      <w:r w:rsidRPr="00142449">
        <w:rPr>
          <w:rFonts w:asciiTheme="majorBidi" w:hAnsiTheme="majorBidi" w:cstheme="majorBidi"/>
        </w:rPr>
        <w:t>Głowica do litotrypsji – 1 szt.</w:t>
      </w:r>
    </w:p>
    <w:p w14:paraId="37B6C804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2. </w:t>
      </w:r>
      <w:r w:rsidRPr="00142449">
        <w:rPr>
          <w:rFonts w:asciiTheme="majorBidi" w:hAnsiTheme="majorBidi" w:cstheme="majorBidi"/>
        </w:rPr>
        <w:t>Klucz dynamometryczny do dokręcania sond kruszących – 1 szt.</w:t>
      </w:r>
    </w:p>
    <w:p w14:paraId="7A241A8A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3.</w:t>
      </w:r>
      <w:r>
        <w:rPr>
          <w:rFonts w:asciiTheme="majorBidi" w:hAnsiTheme="majorBidi" w:cstheme="majorBidi"/>
        </w:rPr>
        <w:t xml:space="preserve"> </w:t>
      </w:r>
      <w:r w:rsidRPr="00142449">
        <w:rPr>
          <w:rFonts w:asciiTheme="majorBidi" w:hAnsiTheme="majorBidi" w:cstheme="majorBidi"/>
        </w:rPr>
        <w:t>Sondy kruszące, jednorazowego użytku – 10 szt. Rozmiary do wyboru w pakietach po 5 szt., według potrzeb zamawiającego:</w:t>
      </w:r>
    </w:p>
    <w:p w14:paraId="561B1F36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1.1 mm x 425 mm</w:t>
      </w:r>
    </w:p>
    <w:p w14:paraId="698936DA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1.1 mm x 520 mm</w:t>
      </w:r>
    </w:p>
    <w:p w14:paraId="500A3A09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1.1 mm x 625 mm</w:t>
      </w:r>
    </w:p>
    <w:p w14:paraId="33615A3D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1.5 mm x 440 mm</w:t>
      </w:r>
    </w:p>
    <w:p w14:paraId="38CFB060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1.9 mm x 341 mm</w:t>
      </w:r>
    </w:p>
    <w:p w14:paraId="12AE2107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3.4 mm x 340 mm</w:t>
      </w:r>
    </w:p>
    <w:p w14:paraId="3D35CE54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3.4 mm x 445 mm</w:t>
      </w:r>
    </w:p>
    <w:p w14:paraId="54393C9D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3.9 mm x 350 mm</w:t>
      </w:r>
    </w:p>
    <w:p w14:paraId="32D7338B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•</w:t>
      </w:r>
      <w:r w:rsidRPr="00142449">
        <w:rPr>
          <w:rFonts w:asciiTheme="majorBidi" w:hAnsiTheme="majorBidi" w:cstheme="majorBidi"/>
        </w:rPr>
        <w:tab/>
        <w:t>3.9 mm x 440 mm</w:t>
      </w:r>
    </w:p>
    <w:p w14:paraId="04E1338A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4. </w:t>
      </w:r>
      <w:r w:rsidRPr="00142449">
        <w:rPr>
          <w:rFonts w:asciiTheme="majorBidi" w:hAnsiTheme="majorBidi" w:cstheme="majorBidi"/>
        </w:rPr>
        <w:t>Jednorazowe pojemniki do gromadzenia skruszonych kamieni, podłączane w układzie odsysania i montowane do obudowy litotryptora – 10 szt.</w:t>
      </w:r>
    </w:p>
    <w:p w14:paraId="4E82F904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5. </w:t>
      </w:r>
      <w:r w:rsidRPr="00142449">
        <w:rPr>
          <w:rFonts w:asciiTheme="majorBidi" w:hAnsiTheme="majorBidi" w:cstheme="majorBidi"/>
        </w:rPr>
        <w:t>Jednorazowe zestawy do gromadzenia odessanej cieczy (każdy zestaw zawiera 2 worki o poj. 5l każdy, z substancją żelującą oraz zestaw przewodów łączących) – 10 szt.</w:t>
      </w:r>
    </w:p>
    <w:p w14:paraId="1197FE06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6. </w:t>
      </w:r>
      <w:r w:rsidRPr="00142449">
        <w:rPr>
          <w:rFonts w:asciiTheme="majorBidi" w:hAnsiTheme="majorBidi" w:cstheme="majorBidi"/>
        </w:rPr>
        <w:t>Zapasowe worki jednorazowe, poj. 5 l,  do gromadzenia odessanej cieczy – 10 szt.</w:t>
      </w:r>
    </w:p>
    <w:p w14:paraId="0EF8F16B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7. </w:t>
      </w:r>
      <w:r w:rsidRPr="00142449">
        <w:rPr>
          <w:rFonts w:asciiTheme="majorBidi" w:hAnsiTheme="majorBidi" w:cstheme="majorBidi"/>
        </w:rPr>
        <w:t>Kontroler podłogowy do sterowania aparatem</w:t>
      </w:r>
    </w:p>
    <w:p w14:paraId="7F52430D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8. </w:t>
      </w:r>
      <w:r w:rsidRPr="00142449">
        <w:rPr>
          <w:rFonts w:asciiTheme="majorBidi" w:hAnsiTheme="majorBidi" w:cstheme="majorBidi"/>
        </w:rPr>
        <w:t>Wózek do litotryptora wyposażony w 4 koła skrętne (minimum 2 z hamulcami) i półkę pod aparat</w:t>
      </w:r>
    </w:p>
    <w:p w14:paraId="11E337DF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9. </w:t>
      </w:r>
      <w:r w:rsidRPr="00142449">
        <w:rPr>
          <w:rFonts w:asciiTheme="majorBidi" w:hAnsiTheme="majorBidi" w:cstheme="majorBidi"/>
        </w:rPr>
        <w:t>Zestaw endoskopii Mini PCNL</w:t>
      </w:r>
    </w:p>
    <w:p w14:paraId="54E31A16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10. </w:t>
      </w:r>
      <w:r w:rsidRPr="00142449">
        <w:rPr>
          <w:rFonts w:asciiTheme="majorBidi" w:hAnsiTheme="majorBidi" w:cstheme="majorBidi"/>
        </w:rPr>
        <w:t xml:space="preserve">Optyka operacyjna o średnicy 4 mm lub 12 Fr, kąt patrzenia  12 stopni, </w:t>
      </w:r>
      <w:r>
        <w:rPr>
          <w:rFonts w:asciiTheme="majorBidi" w:hAnsiTheme="majorBidi" w:cstheme="majorBidi"/>
        </w:rPr>
        <w:t>w</w:t>
      </w:r>
      <w:r w:rsidRPr="00142449">
        <w:rPr>
          <w:rFonts w:asciiTheme="majorBidi" w:hAnsiTheme="majorBidi" w:cstheme="majorBidi"/>
        </w:rPr>
        <w:t xml:space="preserve">yposażona w kanał roboczy min. 6 Charr. /Fr, zakończony automatycznym wentylem i membraną uszczelniającą, Długość robocza min 200 mm. </w:t>
      </w:r>
    </w:p>
    <w:p w14:paraId="276CA10D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11. </w:t>
      </w:r>
      <w:r w:rsidRPr="00142449">
        <w:rPr>
          <w:rFonts w:asciiTheme="majorBidi" w:hAnsiTheme="majorBidi" w:cstheme="majorBidi"/>
        </w:rPr>
        <w:t>Optyka wyposażona w plastikowe kraniki, montowane na wcisk bez konieczności stosowania żadnych narzędzi lub zawór metalowy typu Luer-Lock.</w:t>
      </w:r>
    </w:p>
    <w:p w14:paraId="0D6B2826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12. </w:t>
      </w:r>
      <w:r w:rsidRPr="00142449">
        <w:rPr>
          <w:rFonts w:asciiTheme="majorBidi" w:hAnsiTheme="majorBidi" w:cstheme="majorBidi"/>
        </w:rPr>
        <w:t>Płaszcz operacyjny 15 Charr. okrągły, z obrotowym przepływem, z prostą końcówką, z automatycznym zamknięciem, dł. robocza 205 mm</w:t>
      </w:r>
    </w:p>
    <w:p w14:paraId="62EFE4A9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13. </w:t>
      </w:r>
      <w:r w:rsidRPr="00142449">
        <w:rPr>
          <w:rFonts w:asciiTheme="majorBidi" w:hAnsiTheme="majorBidi" w:cstheme="majorBidi"/>
        </w:rPr>
        <w:t>Płaszcz operacyjny 18 Charr. okrągły, z obrotowym przepływem, z prostą końcówką, z automatycznym zamknięciem, dł. robocza 205 mm</w:t>
      </w:r>
    </w:p>
    <w:p w14:paraId="282423B4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14. </w:t>
      </w:r>
      <w:r w:rsidRPr="00142449">
        <w:rPr>
          <w:rFonts w:asciiTheme="majorBidi" w:hAnsiTheme="majorBidi" w:cstheme="majorBidi"/>
        </w:rPr>
        <w:t>Płaszcz, 18 Fr, dł. robocza  min.130 mm zakończony membraną uszczelniającą.</w:t>
      </w:r>
    </w:p>
    <w:p w14:paraId="0D7A70FB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15. </w:t>
      </w:r>
      <w:r w:rsidRPr="00142449">
        <w:rPr>
          <w:rFonts w:asciiTheme="majorBidi" w:hAnsiTheme="majorBidi" w:cstheme="majorBidi"/>
        </w:rPr>
        <w:t>Dylatator 12 Charr. do nefroskopu operacyjnego do płaszcza operacyjnego 15 Charr. lub rozszerzadło jednostopniowe do wytworzenia przetoki nerkowej, wyposażone w dwa kanały centralny i boczny umożliwiające wprowadzenie dwóch drutów prowadzących. Rozmiar  rozszerzadła dostosowany do płaszcza operacyjnego o rozmiarze wewnętrznym 15 Fr.</w:t>
      </w:r>
    </w:p>
    <w:p w14:paraId="2D4D16B1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16. </w:t>
      </w:r>
      <w:r w:rsidRPr="00142449">
        <w:rPr>
          <w:rFonts w:asciiTheme="majorBidi" w:hAnsiTheme="majorBidi" w:cstheme="majorBidi"/>
        </w:rPr>
        <w:t>Dylatator 15 Charr. do nefroskopu miniaturowego do płaszcza operacyjnego 18 Charr lub rozszerzadło jednostopniowe do wytworzenia przetoki nerkowej, wyposażone w dwa kanały centralny i boczny umożliwiające wprowadzenie dwóch drutów prowadzących. Rozmiar  rozszerzadła dostosowany do płaszcza operacyjnego o rozmiarze wewnętrznym 16,5 Fr.</w:t>
      </w:r>
    </w:p>
    <w:p w14:paraId="016C3F0C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17. </w:t>
      </w:r>
      <w:r w:rsidRPr="00142449">
        <w:rPr>
          <w:rFonts w:asciiTheme="majorBidi" w:hAnsiTheme="majorBidi" w:cstheme="majorBidi"/>
        </w:rPr>
        <w:t>Obturator z centralnym otworem 12 Charr. do miniaturowego nefroskopu do 15 Charr. płaszcza operacyjnego</w:t>
      </w:r>
    </w:p>
    <w:p w14:paraId="30BB726C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18. </w:t>
      </w:r>
      <w:r w:rsidRPr="00142449">
        <w:rPr>
          <w:rFonts w:asciiTheme="majorBidi" w:hAnsiTheme="majorBidi" w:cstheme="majorBidi"/>
        </w:rPr>
        <w:t>Obturator z centralnym otworem 18 Charr</w:t>
      </w:r>
    </w:p>
    <w:p w14:paraId="22216284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19. </w:t>
      </w:r>
      <w:r w:rsidRPr="00142449">
        <w:rPr>
          <w:rFonts w:asciiTheme="majorBidi" w:hAnsiTheme="majorBidi" w:cstheme="majorBidi"/>
        </w:rPr>
        <w:t xml:space="preserve">Chwytacz kamieni trójramienny, sztywny, 2 mm lub 5 F, samozamykający się lub zamykający się poprzez zaciśnięcie rękojeści, dł. </w:t>
      </w:r>
      <w:r>
        <w:rPr>
          <w:rFonts w:asciiTheme="majorBidi" w:hAnsiTheme="majorBidi" w:cstheme="majorBidi"/>
        </w:rPr>
        <w:t>r</w:t>
      </w:r>
      <w:r w:rsidRPr="00142449">
        <w:rPr>
          <w:rFonts w:asciiTheme="majorBidi" w:hAnsiTheme="majorBidi" w:cstheme="majorBidi"/>
        </w:rPr>
        <w:t>obocza max.365 mm</w:t>
      </w:r>
    </w:p>
    <w:p w14:paraId="75CD39A7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20. </w:t>
      </w:r>
      <w:r w:rsidRPr="00142449">
        <w:rPr>
          <w:rFonts w:asciiTheme="majorBidi" w:hAnsiTheme="majorBidi" w:cstheme="majorBidi"/>
        </w:rPr>
        <w:t>Kleszczyki do wyciągania kamieni, ząb mysi lub aligator, sztywne, 2 mm lub 5Fr, dł. robocza min. 365 mm</w:t>
      </w:r>
    </w:p>
    <w:p w14:paraId="5D29C01A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21. </w:t>
      </w:r>
      <w:r w:rsidRPr="00142449">
        <w:rPr>
          <w:rFonts w:asciiTheme="majorBidi" w:hAnsiTheme="majorBidi" w:cstheme="majorBidi"/>
        </w:rPr>
        <w:t>Światłowód długości min 2.3 m, dopasowanym do źródła światła posiadanego przez Zamawiającego</w:t>
      </w:r>
    </w:p>
    <w:p w14:paraId="25BB946B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22. </w:t>
      </w:r>
      <w:r w:rsidRPr="00142449">
        <w:rPr>
          <w:rFonts w:asciiTheme="majorBidi" w:hAnsiTheme="majorBidi" w:cstheme="majorBidi"/>
        </w:rPr>
        <w:t>Kosz do sterylizacji i przechowywania urządzenia</w:t>
      </w:r>
    </w:p>
    <w:p w14:paraId="283980B9" w14:textId="77777777" w:rsidR="00B11BD3" w:rsidRPr="000C4981" w:rsidRDefault="00B11BD3" w:rsidP="00B11BD3">
      <w:pPr>
        <w:rPr>
          <w:rFonts w:asciiTheme="majorBidi" w:hAnsiTheme="majorBidi" w:cstheme="majorBidi"/>
          <w:b/>
          <w:bCs/>
          <w:u w:val="single"/>
        </w:rPr>
      </w:pPr>
      <w:r w:rsidRPr="000C4981">
        <w:rPr>
          <w:rFonts w:asciiTheme="majorBidi" w:hAnsiTheme="majorBidi" w:cstheme="majorBidi"/>
          <w:b/>
          <w:bCs/>
          <w:u w:val="single"/>
        </w:rPr>
        <w:t>GWARANCJA I SERWIS</w:t>
      </w:r>
    </w:p>
    <w:p w14:paraId="410C075C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1. </w:t>
      </w:r>
      <w:r w:rsidRPr="00142449">
        <w:rPr>
          <w:rFonts w:asciiTheme="majorBidi" w:hAnsiTheme="majorBidi" w:cstheme="majorBidi"/>
        </w:rPr>
        <w:t>Autoryzowany przez producenta aparatu serwis gwarancyjny i pogwarancyjny na terenie Polski</w:t>
      </w:r>
    </w:p>
    <w:p w14:paraId="05831936" w14:textId="77777777" w:rsidR="00B11BD3" w:rsidRPr="000C4981" w:rsidRDefault="00B11BD3" w:rsidP="00B11BD3">
      <w:pPr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</w:rPr>
        <w:t>2. Wymagany min. o</w:t>
      </w:r>
      <w:r w:rsidRPr="00142449">
        <w:rPr>
          <w:rFonts w:asciiTheme="majorBidi" w:hAnsiTheme="majorBidi" w:cstheme="majorBidi"/>
        </w:rPr>
        <w:t xml:space="preserve">kres gwarancji </w:t>
      </w:r>
      <w:r>
        <w:rPr>
          <w:rFonts w:asciiTheme="majorBidi" w:hAnsiTheme="majorBidi" w:cstheme="majorBidi"/>
        </w:rPr>
        <w:t xml:space="preserve"> i rękojmi </w:t>
      </w:r>
      <w:r w:rsidRPr="00142449">
        <w:rPr>
          <w:rFonts w:asciiTheme="majorBidi" w:hAnsiTheme="majorBidi" w:cstheme="majorBidi"/>
        </w:rPr>
        <w:t>na konsolę minimum 24 miesiące</w:t>
      </w:r>
      <w:r>
        <w:rPr>
          <w:rFonts w:asciiTheme="majorBidi" w:hAnsiTheme="majorBidi" w:cstheme="majorBidi"/>
        </w:rPr>
        <w:t xml:space="preserve">. – </w:t>
      </w:r>
      <w:r w:rsidRPr="000C4981">
        <w:rPr>
          <w:rFonts w:asciiTheme="majorBidi" w:hAnsiTheme="majorBidi" w:cstheme="majorBidi"/>
          <w:b/>
          <w:bCs/>
          <w:i/>
          <w:iCs/>
        </w:rPr>
        <w:t>podanie dłuższego okresu gwarancyjnego stanowi II Kryterium wyboru oferty</w:t>
      </w:r>
    </w:p>
    <w:p w14:paraId="116AD65B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3. </w:t>
      </w:r>
      <w:r w:rsidRPr="00142449">
        <w:rPr>
          <w:rFonts w:asciiTheme="majorBidi" w:hAnsiTheme="majorBidi" w:cstheme="majorBidi"/>
        </w:rPr>
        <w:t>Okres gwarancji na głowicę kruszącą minimum 100 użyć</w:t>
      </w:r>
    </w:p>
    <w:p w14:paraId="4AAE1B34" w14:textId="77777777" w:rsidR="00B11BD3" w:rsidRPr="00142449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4. </w:t>
      </w:r>
      <w:r w:rsidRPr="00142449">
        <w:rPr>
          <w:rFonts w:asciiTheme="majorBidi" w:hAnsiTheme="majorBidi" w:cstheme="majorBidi"/>
        </w:rPr>
        <w:t>Przeglądy, konserwacje  oraz wymiany zalecane przez producenta wykonywane w czasie gwarancji bezpłatnie.</w:t>
      </w:r>
    </w:p>
    <w:p w14:paraId="145671EF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5.</w:t>
      </w:r>
      <w:r>
        <w:rPr>
          <w:rFonts w:asciiTheme="majorBidi" w:hAnsiTheme="majorBidi" w:cstheme="majorBidi"/>
        </w:rPr>
        <w:t xml:space="preserve"> </w:t>
      </w:r>
      <w:r w:rsidRPr="00142449">
        <w:rPr>
          <w:rFonts w:asciiTheme="majorBidi" w:hAnsiTheme="majorBidi" w:cstheme="majorBidi"/>
        </w:rPr>
        <w:t>Okres zagwarantowania dostępności części zamiennych oraz materiałów zużywalnych – minimum 10 lat od daty instalacji</w:t>
      </w:r>
    </w:p>
    <w:p w14:paraId="535DA1B5" w14:textId="77777777" w:rsidR="00B11BD3" w:rsidRPr="00142449" w:rsidRDefault="00B11BD3" w:rsidP="00B11BD3">
      <w:pPr>
        <w:rPr>
          <w:rFonts w:asciiTheme="majorBidi" w:hAnsiTheme="majorBidi" w:cstheme="majorBidi"/>
        </w:rPr>
      </w:pPr>
      <w:r w:rsidRPr="00142449">
        <w:rPr>
          <w:rFonts w:asciiTheme="majorBidi" w:hAnsiTheme="majorBidi" w:cstheme="majorBidi"/>
        </w:rPr>
        <w:t>6.</w:t>
      </w:r>
      <w:r>
        <w:rPr>
          <w:rFonts w:asciiTheme="majorBidi" w:hAnsiTheme="majorBidi" w:cstheme="majorBidi"/>
        </w:rPr>
        <w:t xml:space="preserve"> </w:t>
      </w:r>
      <w:r w:rsidRPr="00142449">
        <w:rPr>
          <w:rFonts w:asciiTheme="majorBidi" w:hAnsiTheme="majorBidi" w:cstheme="majorBidi"/>
        </w:rPr>
        <w:t>Deklaracja zgodności i certyfikat CE</w:t>
      </w:r>
    </w:p>
    <w:p w14:paraId="4A118C52" w14:textId="77777777" w:rsidR="00B11BD3" w:rsidRDefault="00B11BD3" w:rsidP="00B11BD3">
      <w:pPr>
        <w:pStyle w:val="Standard"/>
        <w:rPr>
          <w:rFonts w:ascii="Times New Roman" w:hAnsi="Times New Roman"/>
        </w:rPr>
      </w:pPr>
      <w:r>
        <w:rPr>
          <w:rFonts w:asciiTheme="majorBidi" w:hAnsiTheme="majorBidi" w:cstheme="majorBidi"/>
        </w:rPr>
        <w:t xml:space="preserve">7. </w:t>
      </w:r>
      <w:r w:rsidRPr="00142449">
        <w:rPr>
          <w:rFonts w:asciiTheme="majorBidi" w:hAnsiTheme="majorBidi" w:cstheme="majorBidi"/>
        </w:rPr>
        <w:t>Przeszkolenie personelu medycznego i technicznego Zamawiającego z obsługi i konserwacji aparatu</w:t>
      </w:r>
    </w:p>
    <w:p w14:paraId="1E411163" w14:textId="77777777" w:rsidR="00B11BD3" w:rsidRDefault="00B11BD3" w:rsidP="00B11BD3">
      <w:pPr>
        <w:pStyle w:val="Standard"/>
        <w:rPr>
          <w:rFonts w:ascii="Times New Roman" w:hAnsi="Times New Roman"/>
        </w:rPr>
      </w:pPr>
    </w:p>
    <w:p w14:paraId="4144D683" w14:textId="77777777" w:rsidR="00B11BD3" w:rsidRPr="007B2658" w:rsidRDefault="00B11BD3" w:rsidP="00B11BD3">
      <w:pPr>
        <w:pStyle w:val="Standard"/>
        <w:rPr>
          <w:rFonts w:ascii="Calibri" w:eastAsia="Calibri" w:hAnsi="Calibri" w:cs="Calibri"/>
          <w:b/>
          <w:sz w:val="22"/>
          <w:u w:val="single"/>
        </w:rPr>
      </w:pPr>
      <w:r w:rsidRPr="007B2658">
        <w:rPr>
          <w:rFonts w:ascii="Times New Roman" w:hAnsi="Times New Roman"/>
          <w:u w:val="single"/>
        </w:rPr>
        <w:t xml:space="preserve">Szczegółowe wymagane parametry zawiera zestawienie warunków i parametrów wymaganych – zał. </w:t>
      </w:r>
      <w:r>
        <w:rPr>
          <w:rFonts w:ascii="Times New Roman" w:hAnsi="Times New Roman"/>
          <w:u w:val="single"/>
        </w:rPr>
        <w:t>9</w:t>
      </w:r>
      <w:r w:rsidRPr="007B2658">
        <w:rPr>
          <w:rFonts w:ascii="Times New Roman" w:hAnsi="Times New Roman"/>
          <w:u w:val="single"/>
        </w:rPr>
        <w:t>.2 do SWZ</w:t>
      </w:r>
    </w:p>
    <w:p w14:paraId="08E62760" w14:textId="77777777" w:rsidR="00B11BD3" w:rsidRDefault="00B11BD3" w:rsidP="00B11BD3">
      <w:pPr>
        <w:pStyle w:val="Standard"/>
        <w:rPr>
          <w:rFonts w:ascii="Calibri" w:eastAsia="Calibri" w:hAnsi="Calibri" w:cs="Calibri"/>
          <w:b/>
          <w:sz w:val="22"/>
        </w:rPr>
      </w:pPr>
    </w:p>
    <w:p w14:paraId="008141CE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79C62A97" w14:textId="77777777" w:rsidR="00B11BD3" w:rsidRPr="00A173A5" w:rsidRDefault="00B11BD3" w:rsidP="00B11BD3">
      <w:pPr>
        <w:pStyle w:val="Standard"/>
        <w:rPr>
          <w:rFonts w:ascii="Times New Roman" w:eastAsia="Times New Roman" w:hAnsi="Times New Roman"/>
          <w:b/>
          <w:u w:val="single"/>
        </w:rPr>
      </w:pPr>
      <w:bookmarkStart w:id="10" w:name="_Hlk104374742"/>
      <w:bookmarkStart w:id="11" w:name="_Hlk150250133"/>
      <w:bookmarkStart w:id="12" w:name="_Hlk141167846"/>
      <w:r w:rsidRPr="00A173A5">
        <w:rPr>
          <w:b/>
          <w:u w:val="single"/>
        </w:rPr>
        <w:t xml:space="preserve">Pakiet 3 -  </w:t>
      </w:r>
      <w:bookmarkEnd w:id="10"/>
      <w:r w:rsidRPr="00A173A5">
        <w:rPr>
          <w:b/>
          <w:u w:val="single"/>
        </w:rPr>
        <w:t>Centrala monitorująca kardiomonitory</w:t>
      </w:r>
      <w:bookmarkEnd w:id="11"/>
      <w:r w:rsidRPr="00A173A5">
        <w:rPr>
          <w:b/>
          <w:u w:val="single"/>
        </w:rPr>
        <w:t xml:space="preserve"> – 1 kpt.</w:t>
      </w:r>
      <w:bookmarkEnd w:id="12"/>
    </w:p>
    <w:p w14:paraId="425CC9E2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</w:t>
      </w:r>
    </w:p>
    <w:p w14:paraId="7CB9BF2F" w14:textId="77777777" w:rsidR="00B11BD3" w:rsidRPr="004F7395" w:rsidRDefault="00B11BD3" w:rsidP="00B11BD3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4F7395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Centralna stacja monitorująca </w:t>
      </w:r>
    </w:p>
    <w:p w14:paraId="7CE87757" w14:textId="77777777" w:rsidR="00B11BD3" w:rsidRPr="00B34104" w:rsidRDefault="00B11BD3" w:rsidP="00B11BD3">
      <w:pPr>
        <w:pStyle w:val="Standard"/>
        <w:rPr>
          <w:rFonts w:ascii="Times New Roman" w:eastAsia="Times New Roman" w:hAnsi="Times New Roman" w:cs="Times New Roman"/>
          <w:bCs/>
        </w:rPr>
      </w:pPr>
      <w:r w:rsidRPr="00B34104">
        <w:rPr>
          <w:rFonts w:ascii="Times New Roman" w:eastAsia="Times New Roman" w:hAnsi="Times New Roman" w:cs="Times New Roman"/>
          <w:bCs/>
        </w:rPr>
        <w:t>Parametry:</w:t>
      </w:r>
    </w:p>
    <w:p w14:paraId="7D373BD0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1. Stacja centralnego monitorowania umożliwiająca podłączenie do 60 stanowisk monitorowania bez konieczności rozbudowywania oprogramowania o dodatkowe opcje</w:t>
      </w:r>
    </w:p>
    <w:p w14:paraId="4AFE9A77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2. Stacja Centralnego Monitorowania kompatybilna z kardiomonitorami z serii uMEC posiadanymi przez Zamawiającego na Oddziale Wewnętrznym</w:t>
      </w:r>
    </w:p>
    <w:p w14:paraId="2478A378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3. Jednoczesny podgląd parametrów ze wszystkich podłączonych do centrali monitorów pacjenta z funkcją indywidualnej konfiguracji pól poszczególnych monitorów (ilość i układ krzywych oraz wartości parametrów)</w:t>
      </w:r>
    </w:p>
    <w:p w14:paraId="4323FD13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4. Możliwość pełnego podglądu wybranego monitor pacjenta (wszystkie krzywe i wartości parametrów)</w:t>
      </w:r>
    </w:p>
    <w:p w14:paraId="56B08A82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5. Zestaw akcesoriów sieciowych do podłączenia 6 kardiomonitorów (Infrastruktura sieciowa na oddziale zapewniona przez Zamawiającego).</w:t>
      </w:r>
    </w:p>
    <w:p w14:paraId="4DBE7771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6. Centrala zainstalowana na komputerze All in one z ekranem o przekątnej min. 23”</w:t>
      </w:r>
    </w:p>
    <w:p w14:paraId="1EF8F834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7. Alarmy 3-stopniowe (wizualne i akustyczne) z poszczególnych łóżek, z identyfikacją alarmującego łóżka. Wyciszanie alarmów i uruchamianie pomiaru ciśnienia nieinwazyjnego z poziomu centrali.</w:t>
      </w:r>
    </w:p>
    <w:p w14:paraId="5056A7AD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lastRenderedPageBreak/>
        <w:t>8. Wyświetlanie alarmów technicznych w formie graficznej, ułatwiające szybką identyfikację problemu</w:t>
      </w:r>
    </w:p>
    <w:p w14:paraId="276B67F3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9. Wyświetlanie na ekranie centrali analizy załamka ST w formie graficznej, pokazujący w czasie rzeczywistym odchylenie wartości ST od linii odniesienia.</w:t>
      </w:r>
    </w:p>
    <w:p w14:paraId="5E7F8F6C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10. Centrala wyposażona w funkcję obliczeń lekowych, hemodynamicznych, wentylacyjnych, nerkowych</w:t>
      </w:r>
    </w:p>
    <w:p w14:paraId="5EADFA46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11. Wpisywanie danych demograficznych pacjenta w centrali i w monitorach</w:t>
      </w:r>
      <w:r>
        <w:rPr>
          <w:rFonts w:ascii="Times New Roman" w:hAnsi="Times New Roman"/>
        </w:rPr>
        <w:t>.</w:t>
      </w:r>
    </w:p>
    <w:p w14:paraId="536739AD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12. Pamięć stanów krytycznych (alarmów i arytmii i innych zdarzeń, z zapisem odcinków krzywych dynamicznych i wartości liczbowych) - minimalna liczba zdarzeń: 3000/pacjenta</w:t>
      </w:r>
    </w:p>
    <w:p w14:paraId="3A1C916B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 xml:space="preserve">13. Pamięć ciągłego zapisu monitorowanych przebiegów falowych (EKG+inne) - z ostatnich min. 240 godzin </w:t>
      </w:r>
    </w:p>
    <w:p w14:paraId="75037B1A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14. Trendy tabelaryczne: pamięć z ostatnich min. 240 godzin</w:t>
      </w:r>
    </w:p>
    <w:p w14:paraId="21968E5B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15. Możliwość wyświetlenia na ekranie centrali danych z zewnętrznych urządzeń peryferyjnych (np. respiratory) podłączonych do monitora pacjenta.</w:t>
      </w:r>
    </w:p>
    <w:p w14:paraId="27E000EB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16. Możliwość podglądu wybranego monitora pacjenta na dowolnym komputerze PC z oprogramowaniem Windows podłączonym do wspólnej sieci ze stacją centralnego monitorowania. Podgląd za pomocą dedykowanego oprogramowania producenta oprogramowania centrali oraz możliwość rozbudowy centrali o funkcję podglądu parametrów monitorowanych pacjentów na telefonach komórkowych oraz tabletach wyposażonych w system operacyjny Android lub iOS</w:t>
      </w:r>
    </w:p>
    <w:p w14:paraId="578FF243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 xml:space="preserve">17. Drukarka laserowa do wydruków trendów i raportów na standardowym papierze A4; wbudowane łącze do sieci Ethernet </w:t>
      </w:r>
    </w:p>
    <w:p w14:paraId="484DEBB3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18. Podtrzymanie zasilania elektrycznego każdego stanowiska monitorowania centralnego (UPS) min. 20 min.</w:t>
      </w:r>
    </w:p>
    <w:p w14:paraId="7058196D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19. Funkcja ustawiania trybu prywatnego z poziomu centrali indywidualnie w poszczególnych monitorach pacjenta oraz jednocześnie we wszystkich monitorach pacjenta podłączonych do centrali</w:t>
      </w:r>
    </w:p>
    <w:p w14:paraId="7ED45DE9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20. Funkcja zdalnego programowania układu krzywych i wartości parametrów na wybranym monitorze pacjenta</w:t>
      </w:r>
      <w:r>
        <w:rPr>
          <w:rFonts w:ascii="Times New Roman" w:hAnsi="Times New Roman"/>
        </w:rPr>
        <w:t>.</w:t>
      </w:r>
    </w:p>
    <w:p w14:paraId="3423A277" w14:textId="77777777" w:rsidR="00B11BD3" w:rsidRPr="00B34104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21. Funkcja ustawiania trybu nocnego z poziomu centrali indywidualnie w poszczególnych monitorach pacjenta oraz jednocześnie we wszystkich monitorach pacjenta podłączonych do centrali.</w:t>
      </w:r>
    </w:p>
    <w:p w14:paraId="561C7B95" w14:textId="77777777" w:rsidR="00B11BD3" w:rsidRDefault="00B11BD3" w:rsidP="00B11BD3">
      <w:pPr>
        <w:rPr>
          <w:rFonts w:ascii="Times New Roman" w:hAnsi="Times New Roman"/>
        </w:rPr>
      </w:pPr>
      <w:r w:rsidRPr="00B34104">
        <w:rPr>
          <w:rFonts w:ascii="Times New Roman" w:hAnsi="Times New Roman"/>
        </w:rPr>
        <w:t>22. Możliwość przyszłej integracji ze szpitalnymi systemami informatycznymi klasy HIS co najmniej w zakresie importowania danych ADT (przyjęcia i wypisy pacjentów)</w:t>
      </w:r>
    </w:p>
    <w:p w14:paraId="1DBDE07E" w14:textId="77777777" w:rsidR="00B11BD3" w:rsidRPr="00B34104" w:rsidRDefault="00B11BD3" w:rsidP="00B11BD3">
      <w:pPr>
        <w:rPr>
          <w:rFonts w:ascii="Times New Roman" w:hAnsi="Times New Roman"/>
        </w:rPr>
      </w:pPr>
      <w:r>
        <w:rPr>
          <w:rFonts w:asciiTheme="majorBidi" w:hAnsiTheme="majorBidi" w:cstheme="majorBidi"/>
        </w:rPr>
        <w:t>23. Wymagany min. o</w:t>
      </w:r>
      <w:r w:rsidRPr="00142449">
        <w:rPr>
          <w:rFonts w:asciiTheme="majorBidi" w:hAnsiTheme="majorBidi" w:cstheme="majorBidi"/>
        </w:rPr>
        <w:t xml:space="preserve">kres gwarancji </w:t>
      </w:r>
      <w:r>
        <w:rPr>
          <w:rFonts w:asciiTheme="majorBidi" w:hAnsiTheme="majorBidi" w:cstheme="majorBidi"/>
        </w:rPr>
        <w:t xml:space="preserve"> i rękojmi </w:t>
      </w:r>
      <w:r w:rsidRPr="00142449">
        <w:rPr>
          <w:rFonts w:asciiTheme="majorBidi" w:hAnsiTheme="majorBidi" w:cstheme="majorBidi"/>
        </w:rPr>
        <w:t xml:space="preserve">na </w:t>
      </w:r>
      <w:r>
        <w:rPr>
          <w:rFonts w:asciiTheme="majorBidi" w:hAnsiTheme="majorBidi" w:cstheme="majorBidi"/>
        </w:rPr>
        <w:t>sprzęt</w:t>
      </w:r>
      <w:r w:rsidRPr="00142449">
        <w:rPr>
          <w:rFonts w:asciiTheme="majorBidi" w:hAnsiTheme="majorBidi" w:cstheme="majorBidi"/>
        </w:rPr>
        <w:t xml:space="preserve"> minimum 24 miesiące</w:t>
      </w:r>
      <w:r>
        <w:rPr>
          <w:rFonts w:asciiTheme="majorBidi" w:hAnsiTheme="majorBidi" w:cstheme="majorBidi"/>
        </w:rPr>
        <w:t xml:space="preserve">. – </w:t>
      </w:r>
      <w:r w:rsidRPr="000C4981">
        <w:rPr>
          <w:rFonts w:asciiTheme="majorBidi" w:hAnsiTheme="majorBidi" w:cstheme="majorBidi"/>
          <w:b/>
          <w:bCs/>
          <w:i/>
          <w:iCs/>
        </w:rPr>
        <w:t>podanie dłuższego okresu gwarancyjnego stanowi II Kryterium wyboru oferty</w:t>
      </w:r>
    </w:p>
    <w:p w14:paraId="185A01B1" w14:textId="77777777" w:rsidR="00B11BD3" w:rsidRPr="00421A9D" w:rsidRDefault="00B11BD3" w:rsidP="00B11BD3">
      <w:pPr>
        <w:pStyle w:val="Standard"/>
        <w:rPr>
          <w:rFonts w:ascii="Times New Roman" w:eastAsia="Times New Roman" w:hAnsi="Times New Roman"/>
          <w:bCs/>
        </w:rPr>
      </w:pPr>
    </w:p>
    <w:p w14:paraId="4FFF9474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1AEF05FA" w14:textId="77777777" w:rsidR="00B11BD3" w:rsidRPr="007B2658" w:rsidRDefault="00B11BD3" w:rsidP="00B11BD3">
      <w:pPr>
        <w:pStyle w:val="Standard"/>
        <w:rPr>
          <w:rFonts w:ascii="Times New Roman" w:hAnsi="Times New Roman"/>
          <w:u w:val="single"/>
        </w:rPr>
      </w:pPr>
      <w:r w:rsidRPr="007B2658">
        <w:rPr>
          <w:rFonts w:ascii="Times New Roman" w:hAnsi="Times New Roman"/>
          <w:u w:val="single"/>
        </w:rPr>
        <w:t xml:space="preserve">Szczegółowe wymagane parametry zawiera zestawienie warunków i parametrów wymaganych – zał. </w:t>
      </w:r>
      <w:r>
        <w:rPr>
          <w:rFonts w:ascii="Times New Roman" w:hAnsi="Times New Roman"/>
          <w:u w:val="single"/>
        </w:rPr>
        <w:t>9</w:t>
      </w:r>
      <w:r w:rsidRPr="007B2658">
        <w:rPr>
          <w:rFonts w:ascii="Times New Roman" w:hAnsi="Times New Roman"/>
          <w:u w:val="single"/>
        </w:rPr>
        <w:t>.3 do SWZ</w:t>
      </w:r>
    </w:p>
    <w:p w14:paraId="5EC50782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47BDEF33" w14:textId="77777777" w:rsidR="00B11BD3" w:rsidRPr="00A173A5" w:rsidRDefault="00B11BD3" w:rsidP="00B11BD3">
      <w:pPr>
        <w:pStyle w:val="Standard"/>
        <w:rPr>
          <w:rFonts w:ascii="Times New Roman" w:eastAsia="Times New Roman" w:hAnsi="Times New Roman"/>
          <w:b/>
          <w:u w:val="single"/>
        </w:rPr>
      </w:pPr>
      <w:bookmarkStart w:id="13" w:name="_Hlk150250158"/>
      <w:bookmarkStart w:id="14" w:name="_Hlk150247312"/>
      <w:bookmarkStart w:id="15" w:name="_Hlk150248945"/>
      <w:bookmarkStart w:id="16" w:name="_Hlk141169131"/>
      <w:r w:rsidRPr="00A173A5">
        <w:rPr>
          <w:b/>
          <w:u w:val="single"/>
        </w:rPr>
        <w:t>Pakiet 4  - Defibrylator</w:t>
      </w:r>
      <w:bookmarkEnd w:id="13"/>
      <w:r w:rsidRPr="00A173A5">
        <w:rPr>
          <w:b/>
          <w:u w:val="single"/>
        </w:rPr>
        <w:t xml:space="preserve"> </w:t>
      </w:r>
      <w:r w:rsidRPr="00A173A5">
        <w:rPr>
          <w:rFonts w:ascii="Times New Roman" w:eastAsia="Times New Roman" w:hAnsi="Times New Roman"/>
          <w:b/>
          <w:u w:val="single"/>
        </w:rPr>
        <w:t xml:space="preserve"> -  1 kpt.</w:t>
      </w:r>
      <w:bookmarkEnd w:id="14"/>
      <w:bookmarkEnd w:id="15"/>
    </w:p>
    <w:bookmarkEnd w:id="16"/>
    <w:p w14:paraId="5C8E63B9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5D949522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Parametry:</w:t>
      </w:r>
    </w:p>
    <w:p w14:paraId="282A2CE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Fabrycznie nowy, nieużywany, niedemonstracyjny, nie powystawowy, przenośny z wbudowanym uchwytem transportowym</w:t>
      </w:r>
    </w:p>
    <w:p w14:paraId="7509041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Urządzenie do monitorowania i defibrylacji (tryb manualny oraz AED)</w:t>
      </w:r>
    </w:p>
    <w:p w14:paraId="75EFABD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Masa defibrylatora wyposażonego w łyżki do defibrylacji zewnętrznej, akumulator, rejestrator – max. 6 kg</w:t>
      </w:r>
    </w:p>
    <w:p w14:paraId="06A0591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Aparat odporny na zalanie wodą - min. klasa IP55</w:t>
      </w:r>
    </w:p>
    <w:p w14:paraId="5087405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Defibrylator odporny na upadek z wysokości min. 70 cm</w:t>
      </w:r>
    </w:p>
    <w:p w14:paraId="6FBC3A2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Temperatura pracy: min od 0 do +40ºC</w:t>
      </w:r>
    </w:p>
    <w:p w14:paraId="230F96E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Uchwyt na ramę łóżka</w:t>
      </w:r>
    </w:p>
    <w:p w14:paraId="281CE054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Menu  oraz komunikacja z użytkownikiem w języku polskim.</w:t>
      </w:r>
    </w:p>
    <w:p w14:paraId="76D6CA2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Ładowanie akumulatora od 0 do 100 % pojemności w czasie poniżej 4 godzin</w:t>
      </w:r>
    </w:p>
    <w:p w14:paraId="29156F7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Urządzenie wyposażone w uniwersalne łyżki defibrylacyjne dla dorosłych i dzieci</w:t>
      </w:r>
    </w:p>
    <w:p w14:paraId="3661FE79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Wbudowany akumulator litowo-jonowy bez efektu pamięci z możliwością wymiany bez użycia dodatkowych narzędzi, ze wskaźnikiem stopnia jego naładowania.</w:t>
      </w:r>
    </w:p>
    <w:p w14:paraId="686C446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Czas pracy na akumulatorze min. 300 minut monitorowania</w:t>
      </w:r>
      <w:r>
        <w:rPr>
          <w:rFonts w:asciiTheme="majorBidi" w:hAnsiTheme="majorBidi" w:cstheme="majorBidi"/>
        </w:rPr>
        <w:t>.</w:t>
      </w:r>
    </w:p>
    <w:p w14:paraId="1C899C4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wykonania min. 300 defibrylacji z energią 200J na w pełni naładowanych akumulatorach</w:t>
      </w:r>
      <w:r>
        <w:rPr>
          <w:rFonts w:asciiTheme="majorBidi" w:hAnsiTheme="majorBidi" w:cstheme="majorBidi"/>
        </w:rPr>
        <w:t>.</w:t>
      </w:r>
    </w:p>
    <w:p w14:paraId="663C4C38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Akcesoria pomiarowe w zakresie monitorowania EKG, Sp02, NIBP kompatybilne z kardiomonitorami z serii uMEC posiadanymi przez zamawiającego na Oddziale Wewnętrznym.</w:t>
      </w:r>
    </w:p>
    <w:p w14:paraId="3244DBAF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Zasilanie i ładowanie akumulatorów bezpośrednio z sieci napięcia zmiennego 230V (zintegrowany zasilacz)</w:t>
      </w:r>
      <w:r>
        <w:rPr>
          <w:rFonts w:asciiTheme="majorBidi" w:hAnsiTheme="majorBidi" w:cstheme="majorBidi"/>
        </w:rPr>
        <w:t>.</w:t>
      </w:r>
    </w:p>
    <w:p w14:paraId="16AC8C2A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Programowanie automatycznie, codziennie wykonywanego testu bez włączenia defibrylatora przy zamontowanym akumulatorze, łyżkach i podłączeniu do sieci elektrycznej (pełny test). Możliwość ustawienia pełnej godziny wykonania testu w zakresie 1:00 – 24:00.</w:t>
      </w:r>
    </w:p>
    <w:p w14:paraId="7489D49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Wydruk testu potwierdzającego jego wykonanie. Na wydruku: data/godzina, numer seryjny aparatu, wynik testu. Dostępne archiwum przeprowadzonych testów z możliwością ponownego wydruku.</w:t>
      </w:r>
    </w:p>
    <w:p w14:paraId="66AD7A9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Łączność przewodowa (LAN) z centralą CMS.</w:t>
      </w:r>
    </w:p>
    <w:p w14:paraId="28442B73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 xml:space="preserve">Obsługa: </w:t>
      </w:r>
    </w:p>
    <w:p w14:paraId="5A43B0A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standardu HL7</w:t>
      </w:r>
    </w:p>
    <w:p w14:paraId="71DC89E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lastRenderedPageBreak/>
        <w:t>- protokołów: TCP/IP (IPv4 i IPv6)</w:t>
      </w:r>
    </w:p>
    <w:p w14:paraId="34A416B9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adresowania IP: dynamicznie i statycznie</w:t>
      </w:r>
    </w:p>
    <w:p w14:paraId="160897F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serwerów DNS</w:t>
      </w:r>
    </w:p>
    <w:p w14:paraId="62B9BF2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ochrony danych</w:t>
      </w:r>
    </w:p>
    <w:p w14:paraId="0AE6593E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19.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Przesyłane dane do CMS:</w:t>
      </w:r>
    </w:p>
    <w:p w14:paraId="41FA437D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Informacje o pacjencie</w:t>
      </w:r>
    </w:p>
    <w:p w14:paraId="38FBF37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Informacje o urządzeniu</w:t>
      </w:r>
    </w:p>
    <w:p w14:paraId="34B7188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Informacje o konfiguracji</w:t>
      </w:r>
    </w:p>
    <w:p w14:paraId="6F3400A0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Krzywe</w:t>
      </w:r>
    </w:p>
    <w:p w14:paraId="3908EC5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Parametry monitorowania</w:t>
      </w:r>
    </w:p>
    <w:p w14:paraId="265EB260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Alarmy i komunikaty z podpowiedziami</w:t>
      </w:r>
    </w:p>
    <w:p w14:paraId="19EDC34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Data i godzina</w:t>
      </w:r>
    </w:p>
    <w:p w14:paraId="51692953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Tryb pracy</w:t>
      </w:r>
    </w:p>
    <w:p w14:paraId="4A63274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Raportu EKG</w:t>
      </w:r>
    </w:p>
    <w:p w14:paraId="58E68544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- Podsumowana testów użytkownika</w:t>
      </w:r>
    </w:p>
    <w:p w14:paraId="1E935D9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rozbudowy o transmisję bezprzewodową</w:t>
      </w:r>
      <w:r>
        <w:rPr>
          <w:rFonts w:asciiTheme="majorBidi" w:hAnsiTheme="majorBidi" w:cstheme="majorBidi"/>
        </w:rPr>
        <w:t>.</w:t>
      </w:r>
    </w:p>
    <w:p w14:paraId="167951AE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Możliwość zarządzania danymi oraz ich przesyłania poprzez obsługę sieci bezprzewodowych WLAN min: 802.11 a/b/g/n (2,4 i 5 GB)</w:t>
      </w:r>
      <w:r>
        <w:rPr>
          <w:rFonts w:asciiTheme="majorBidi" w:hAnsiTheme="majorBidi" w:cstheme="majorBidi"/>
        </w:rPr>
        <w:t>.</w:t>
      </w:r>
    </w:p>
    <w:p w14:paraId="473F370F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rozbudowy o czujnik RKO – czujnik monitorowania uciśnięć z wyświetlaniem parametrów jakości RKO, w tym krzywej głębokości uciśnięć na ekranie urządzenia</w:t>
      </w:r>
      <w:r>
        <w:rPr>
          <w:rFonts w:asciiTheme="majorBidi" w:hAnsiTheme="majorBidi" w:cstheme="majorBidi"/>
        </w:rPr>
        <w:t>.</w:t>
      </w:r>
    </w:p>
    <w:p w14:paraId="5F3012CA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Ekran kolorowy, dotykowy, pojemnościowy z funkcją obsługi gestami o przekątnej minimum 8’’ i rozdzielczości 1024x768</w:t>
      </w:r>
      <w:r>
        <w:rPr>
          <w:rFonts w:asciiTheme="majorBidi" w:hAnsiTheme="majorBidi" w:cstheme="majorBidi"/>
        </w:rPr>
        <w:t>.</w:t>
      </w:r>
    </w:p>
    <w:p w14:paraId="524DAF24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wyświetlania na ekranie 3 krzywych dynamicznych.</w:t>
      </w:r>
    </w:p>
    <w:p w14:paraId="0944D72A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Wyświetlanie wszystkich monitorowanych parametrów w formie cyfrowej</w:t>
      </w:r>
      <w:r>
        <w:rPr>
          <w:rFonts w:asciiTheme="majorBidi" w:hAnsiTheme="majorBidi" w:cstheme="majorBidi"/>
        </w:rPr>
        <w:t>.</w:t>
      </w:r>
    </w:p>
    <w:p w14:paraId="30FF2CFE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Wbudowana drukarka/rejestrator termiczny</w:t>
      </w:r>
      <w:r>
        <w:rPr>
          <w:rFonts w:asciiTheme="majorBidi" w:hAnsiTheme="majorBidi" w:cstheme="majorBidi"/>
        </w:rPr>
        <w:t>.</w:t>
      </w:r>
    </w:p>
    <w:p w14:paraId="486DD1B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Papier do drukarki o szerokości min. 50 mm</w:t>
      </w:r>
      <w:r>
        <w:rPr>
          <w:rFonts w:asciiTheme="majorBidi" w:hAnsiTheme="majorBidi" w:cstheme="majorBidi"/>
        </w:rPr>
        <w:t>.</w:t>
      </w:r>
    </w:p>
    <w:p w14:paraId="3813DB6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 xml:space="preserve">Możliwość wydruku w czasie rzeczywistym min. 3 krzywych </w:t>
      </w:r>
      <w:r>
        <w:rPr>
          <w:rFonts w:asciiTheme="majorBidi" w:hAnsiTheme="majorBidi" w:cstheme="majorBidi"/>
        </w:rPr>
        <w:t>.</w:t>
      </w:r>
    </w:p>
    <w:p w14:paraId="6CD4206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Archiwizacja danych: min. 100 pacjentów, min. 72 godzinne trendy, 24 godz. ciągły zapis EKG</w:t>
      </w:r>
      <w:r>
        <w:rPr>
          <w:rFonts w:asciiTheme="majorBidi" w:hAnsiTheme="majorBidi" w:cstheme="majorBidi"/>
        </w:rPr>
        <w:t>.</w:t>
      </w:r>
    </w:p>
    <w:p w14:paraId="20EB2B04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29.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Eksport zarchiwizowanych danych za pomocą pamięci typu Pendrive</w:t>
      </w:r>
      <w:r>
        <w:rPr>
          <w:rFonts w:asciiTheme="majorBidi" w:hAnsiTheme="majorBidi" w:cstheme="majorBidi"/>
        </w:rPr>
        <w:t>.</w:t>
      </w:r>
    </w:p>
    <w:p w14:paraId="78DE030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Dwufazowa fala defibrylacji</w:t>
      </w:r>
      <w:r>
        <w:rPr>
          <w:rFonts w:asciiTheme="majorBidi" w:hAnsiTheme="majorBidi" w:cstheme="majorBidi"/>
        </w:rPr>
        <w:t>.</w:t>
      </w:r>
    </w:p>
    <w:p w14:paraId="7826334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lastRenderedPageBreak/>
        <w:t>31.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wykonania kardiowersji. Synchronizacja z zapisem EKG z łyżek, elektrod, kabla EKG, znacznik synchronizacji widoczny nad załamkiem R elektrokardiogramu</w:t>
      </w:r>
      <w:r>
        <w:rPr>
          <w:rFonts w:asciiTheme="majorBidi" w:hAnsiTheme="majorBidi" w:cstheme="majorBidi"/>
        </w:rPr>
        <w:t>.</w:t>
      </w:r>
    </w:p>
    <w:p w14:paraId="6C8AE73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Defibrylacja synchroniczna: maksymalny czas od chwili wykrycia fali R do chwili wyładowania impulsu defibrylacyjnego do 25 ms</w:t>
      </w:r>
      <w:r>
        <w:rPr>
          <w:rFonts w:asciiTheme="majorBidi" w:hAnsiTheme="majorBidi" w:cstheme="majorBidi"/>
        </w:rPr>
        <w:t>.</w:t>
      </w:r>
    </w:p>
    <w:p w14:paraId="27D5058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Defibrylacje ręczna w zakresie min. od 1 do 360 J</w:t>
      </w:r>
      <w:r>
        <w:rPr>
          <w:rFonts w:asciiTheme="majorBidi" w:hAnsiTheme="majorBidi" w:cstheme="majorBidi"/>
        </w:rPr>
        <w:t>.</w:t>
      </w:r>
    </w:p>
    <w:p w14:paraId="32417F6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wyboru jednego spośród min. 20 poziomów energii defibrylacji</w:t>
      </w:r>
      <w:r>
        <w:rPr>
          <w:rFonts w:asciiTheme="majorBidi" w:hAnsiTheme="majorBidi" w:cstheme="majorBidi"/>
        </w:rPr>
        <w:t>.</w:t>
      </w:r>
    </w:p>
    <w:p w14:paraId="15C091B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wykonania defibrylacji wewnętrznej. Dostępne min. 3 rozmiary łyżek: dla pacjentów dorosłych, dzieci i noworodków.</w:t>
      </w:r>
    </w:p>
    <w:p w14:paraId="17A20AE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wykonania defibrylacji tylko przy zasilaniu z sieci elektrycznej (np. przy uszkodzonym akumulatorze).</w:t>
      </w:r>
    </w:p>
    <w:p w14:paraId="3E88B3A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Czas ładowania do energii 200J max. 3 sekund</w:t>
      </w:r>
      <w:r>
        <w:rPr>
          <w:rFonts w:asciiTheme="majorBidi" w:hAnsiTheme="majorBidi" w:cstheme="majorBidi"/>
        </w:rPr>
        <w:t>.</w:t>
      </w:r>
    </w:p>
    <w:p w14:paraId="1D60096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 xml:space="preserve">Defibrylacja półautomatyczna (AED) z systemem doradczym w języku polskim zgodnie z aktualnymi wytycznymi PRC/ERC/AHA </w:t>
      </w:r>
      <w:r>
        <w:rPr>
          <w:rFonts w:asciiTheme="majorBidi" w:hAnsiTheme="majorBidi" w:cstheme="majorBidi"/>
        </w:rPr>
        <w:t>.</w:t>
      </w:r>
    </w:p>
    <w:p w14:paraId="08563739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39.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aktualizacji protokołu AED</w:t>
      </w:r>
      <w:r>
        <w:rPr>
          <w:rFonts w:asciiTheme="majorBidi" w:hAnsiTheme="majorBidi" w:cstheme="majorBidi"/>
        </w:rPr>
        <w:t>.</w:t>
      </w:r>
    </w:p>
    <w:p w14:paraId="6E914804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Energia defibrylacji w trybie AED dla dzieci i dorosłych w zakresie min. od 10 do 360J</w:t>
      </w:r>
      <w:r>
        <w:rPr>
          <w:rFonts w:asciiTheme="majorBidi" w:hAnsiTheme="majorBidi" w:cstheme="majorBidi"/>
        </w:rPr>
        <w:t>.</w:t>
      </w:r>
    </w:p>
    <w:p w14:paraId="5684B823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 trybie AED - programowane przez użytkownika wartości energii dla 1, 2 i 3 defibrylacji z energią od 10 do 360J</w:t>
      </w:r>
      <w:r>
        <w:rPr>
          <w:rFonts w:asciiTheme="majorBidi" w:hAnsiTheme="majorBidi" w:cstheme="majorBidi"/>
        </w:rPr>
        <w:t>.</w:t>
      </w:r>
    </w:p>
    <w:p w14:paraId="3C990C2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wykonania defibrylacji w trybie AED za pomocą elektrod jednorazowych. W zestawie komplet elektrod radiotransparentnych dla dorosłych (o wadze min. 25 kg).</w:t>
      </w:r>
    </w:p>
    <w:p w14:paraId="567319AA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Dźwiękowe i tekstowe komunikaty w języku polskim prowadzące  użytkownika przez proces defibrylacji półautomatycznej</w:t>
      </w:r>
      <w:r>
        <w:rPr>
          <w:rFonts w:asciiTheme="majorBidi" w:hAnsiTheme="majorBidi" w:cstheme="majorBidi"/>
        </w:rPr>
        <w:t>.</w:t>
      </w:r>
    </w:p>
    <w:p w14:paraId="18AC7A22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Ustawianie energii defibrylacji, ładowania i wstrząsu na łyżkach defibrylacyjnych</w:t>
      </w:r>
      <w:r>
        <w:rPr>
          <w:rFonts w:asciiTheme="majorBidi" w:hAnsiTheme="majorBidi" w:cstheme="majorBidi"/>
        </w:rPr>
        <w:t>.</w:t>
      </w:r>
    </w:p>
    <w:p w14:paraId="2BD628FE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 xml:space="preserve">Wydzielony na defibrylatorze przycisk rozładowania energii. </w:t>
      </w:r>
    </w:p>
    <w:p w14:paraId="51EF6C6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Wskaźnik impedancji kontaktu elektrod z ciałem pacjenta dostępny na łyżkach i na ekranie defibrylatora.</w:t>
      </w:r>
    </w:p>
    <w:p w14:paraId="691F1E09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Monitorowanie EKG min. z 3/7 odprowadzeń</w:t>
      </w:r>
      <w:r>
        <w:rPr>
          <w:rFonts w:asciiTheme="majorBidi" w:hAnsiTheme="majorBidi" w:cstheme="majorBidi"/>
        </w:rPr>
        <w:t>.</w:t>
      </w:r>
    </w:p>
    <w:p w14:paraId="69D01EF3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Analiza arytmii - algorytm uwzględniający wiek pacjenta</w:t>
      </w:r>
    </w:p>
    <w:p w14:paraId="70404EC1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49.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Zakres pomiaru częstości akcji serca w zakresie od 15-300 B/min.</w:t>
      </w:r>
    </w:p>
    <w:p w14:paraId="6E1A3354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Wzmocnienie sygnału: x0,25; x0,5; x1; x2; x4; auto</w:t>
      </w:r>
      <w:r>
        <w:rPr>
          <w:rFonts w:asciiTheme="majorBidi" w:hAnsiTheme="majorBidi" w:cstheme="majorBidi"/>
        </w:rPr>
        <w:t>.</w:t>
      </w:r>
    </w:p>
    <w:p w14:paraId="7E300909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Wybór odprowadzeń z: elektrod ekg, łyżek defibrylacyjnych, jednorazowych elektrod do defibrylacji/stymulacji</w:t>
      </w:r>
      <w:r>
        <w:rPr>
          <w:rFonts w:asciiTheme="majorBidi" w:hAnsiTheme="majorBidi" w:cstheme="majorBidi"/>
        </w:rPr>
        <w:t>.</w:t>
      </w:r>
    </w:p>
    <w:p w14:paraId="13D7914A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 xml:space="preserve">Układ monitorujący zabezpieczony przed impulsem defibrylatora </w:t>
      </w:r>
      <w:r>
        <w:rPr>
          <w:rFonts w:asciiTheme="majorBidi" w:hAnsiTheme="majorBidi" w:cstheme="majorBidi"/>
        </w:rPr>
        <w:t>–</w:t>
      </w:r>
      <w:r w:rsidRPr="00D77761">
        <w:rPr>
          <w:rFonts w:asciiTheme="majorBidi" w:hAnsiTheme="majorBidi" w:cstheme="majorBidi"/>
        </w:rPr>
        <w:t xml:space="preserve"> CF</w:t>
      </w:r>
      <w:r>
        <w:rPr>
          <w:rFonts w:asciiTheme="majorBidi" w:hAnsiTheme="majorBidi" w:cstheme="majorBidi"/>
        </w:rPr>
        <w:t>.</w:t>
      </w:r>
    </w:p>
    <w:p w14:paraId="4FED707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lastRenderedPageBreak/>
        <w:t>53.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Złącze - wejście synchronizujące sygnał ekg z zewnętrznego kardiomonitora dowolnego producenta</w:t>
      </w:r>
      <w:r>
        <w:rPr>
          <w:rFonts w:asciiTheme="majorBidi" w:hAnsiTheme="majorBidi" w:cstheme="majorBidi"/>
        </w:rPr>
        <w:t>.</w:t>
      </w:r>
    </w:p>
    <w:p w14:paraId="630061FD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Pomiar respiracji metodą impedancyjną</w:t>
      </w:r>
      <w:r>
        <w:rPr>
          <w:rFonts w:asciiTheme="majorBidi" w:hAnsiTheme="majorBidi" w:cstheme="majorBidi"/>
        </w:rPr>
        <w:t>.</w:t>
      </w:r>
    </w:p>
    <w:p w14:paraId="20BC222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Zakres pomiaru od min. 0-200 odd./min. z rozdzielczością 1 odd./min.</w:t>
      </w:r>
    </w:p>
    <w:p w14:paraId="6C779DBD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Czas alarmu bezdechu od min. 10-40 sek.</w:t>
      </w:r>
    </w:p>
    <w:p w14:paraId="43EB5ED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Wyświetlana krzywa respiracji na ekranie defibrylatora z możliwością wyłączenia</w:t>
      </w:r>
      <w:r>
        <w:rPr>
          <w:rFonts w:asciiTheme="majorBidi" w:hAnsiTheme="majorBidi" w:cstheme="majorBidi"/>
        </w:rPr>
        <w:t>.</w:t>
      </w:r>
    </w:p>
    <w:p w14:paraId="37A2F9D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Tryby stymulacji: sztywny oraz na żądanie</w:t>
      </w:r>
      <w:r>
        <w:rPr>
          <w:rFonts w:asciiTheme="majorBidi" w:hAnsiTheme="majorBidi" w:cstheme="majorBidi"/>
        </w:rPr>
        <w:t>.</w:t>
      </w:r>
    </w:p>
    <w:p w14:paraId="025841E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59.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Natężenie prądu stymulacji w zakresie min. od 1 do 200 mA</w:t>
      </w:r>
      <w:r>
        <w:rPr>
          <w:rFonts w:asciiTheme="majorBidi" w:hAnsiTheme="majorBidi" w:cstheme="majorBidi"/>
        </w:rPr>
        <w:t>.</w:t>
      </w:r>
    </w:p>
    <w:p w14:paraId="0EE4A0EC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Zakres częstości stymulacji w zakresie min. od 30 do 210 imp./min</w:t>
      </w:r>
      <w:r>
        <w:rPr>
          <w:rFonts w:asciiTheme="majorBidi" w:hAnsiTheme="majorBidi" w:cstheme="majorBidi"/>
        </w:rPr>
        <w:t>.</w:t>
      </w:r>
    </w:p>
    <w:p w14:paraId="73FE301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Możliwość ustawienia czasu impulsu stymulacyjnego, do wyboru: 20 ms lub 40 ms.</w:t>
      </w:r>
    </w:p>
    <w:p w14:paraId="7987AF3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Zakres pomiaru saturacji min. 1-100 % z rozdzielczością 1%</w:t>
      </w:r>
    </w:p>
    <w:p w14:paraId="655A525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Zakres pomiaru pulsu min 20-300 uderz./min z rozdzielczością 1 uderz./min</w:t>
      </w:r>
    </w:p>
    <w:p w14:paraId="55166ADD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Prezentacja wartości saturacji oraz krzywej pletyzmograficznej na ekranie urządzenia</w:t>
      </w:r>
      <w:r>
        <w:rPr>
          <w:rFonts w:asciiTheme="majorBidi" w:hAnsiTheme="majorBidi" w:cstheme="majorBidi"/>
        </w:rPr>
        <w:t>.</w:t>
      </w:r>
    </w:p>
    <w:p w14:paraId="580E792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Pomiar saturacji za pomocą czujnika na palec dla dorosłych</w:t>
      </w:r>
      <w:r>
        <w:rPr>
          <w:rFonts w:asciiTheme="majorBidi" w:hAnsiTheme="majorBidi" w:cstheme="majorBidi"/>
        </w:rPr>
        <w:t>.</w:t>
      </w:r>
    </w:p>
    <w:p w14:paraId="3E4A90FA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66.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Pomiar nieinwazyjny ciśnienia krwi (NIBP) metodą oscylometryczną.</w:t>
      </w:r>
    </w:p>
    <w:p w14:paraId="4DA8AF6B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67.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Wyświetlane wartości ciśnień: skurczowe, rozkurczowe oraz średnie</w:t>
      </w:r>
      <w:r>
        <w:rPr>
          <w:rFonts w:asciiTheme="majorBidi" w:hAnsiTheme="majorBidi" w:cstheme="majorBidi"/>
        </w:rPr>
        <w:t>.</w:t>
      </w:r>
    </w:p>
    <w:p w14:paraId="5B5E8B9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68.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Tryby pracy: ręczny, auto, ciągły (STAT)</w:t>
      </w:r>
    </w:p>
    <w:p w14:paraId="551DF306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69.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Zakres pomiaru od 10-290 mmHg, pomiar ręczny i automatyczny z rozdzielczością 1 mmHg</w:t>
      </w:r>
    </w:p>
    <w:p w14:paraId="79011ED8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70.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Pomiar w trybie auto w zakresie od min. 1  do 480 min.</w:t>
      </w:r>
    </w:p>
    <w:p w14:paraId="3B09335D" w14:textId="77777777" w:rsidR="00B11BD3" w:rsidRPr="00DC4061" w:rsidRDefault="00B11BD3" w:rsidP="00B11BD3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DC4061">
        <w:rPr>
          <w:rFonts w:asciiTheme="majorBidi" w:hAnsiTheme="majorBidi" w:cstheme="majorBidi"/>
          <w:b/>
          <w:bCs/>
          <w:sz w:val="24"/>
          <w:szCs w:val="24"/>
          <w:u w:val="single"/>
        </w:rPr>
        <w:t>Wózek pod defibrylator</w:t>
      </w:r>
    </w:p>
    <w:p w14:paraId="6B044A07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71.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Stelaż z profilu aluminiowego, lakierowanego proszkowo, umożliwiający dowolną regulację umieszczenia szuflady oraz mocowanie wyposażenia dodatkowego.</w:t>
      </w:r>
    </w:p>
    <w:p w14:paraId="1E98E72E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72.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Min. 1 szuflada , 2 uchwyty do prowadzenia wózka, umieszczona z boku</w:t>
      </w:r>
    </w:p>
    <w:p w14:paraId="6AE99445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73.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Blat, szuflada i podstawa stalowe, lakierowane proszkowo, blat z pogłębieniem zapobiegającym zsuwaniu się sprzętu.</w:t>
      </w:r>
    </w:p>
    <w:p w14:paraId="1DE9FCA0" w14:textId="77777777" w:rsidR="00B11BD3" w:rsidRPr="00D77761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74.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Podstawa wyposażona w koła o średnicy min. 75 mm, w tym min. 2 z blokadą.</w:t>
      </w:r>
    </w:p>
    <w:p w14:paraId="348D4CC9" w14:textId="77777777" w:rsidR="00B11BD3" w:rsidRDefault="00B11BD3" w:rsidP="00B11BD3">
      <w:pPr>
        <w:rPr>
          <w:rFonts w:asciiTheme="majorBidi" w:hAnsiTheme="majorBidi" w:cstheme="majorBidi"/>
        </w:rPr>
      </w:pPr>
      <w:r w:rsidRPr="00D77761">
        <w:rPr>
          <w:rFonts w:asciiTheme="majorBidi" w:hAnsiTheme="majorBidi" w:cstheme="majorBidi"/>
        </w:rPr>
        <w:t>75.</w:t>
      </w:r>
      <w:r>
        <w:rPr>
          <w:rFonts w:asciiTheme="majorBidi" w:hAnsiTheme="majorBidi" w:cstheme="majorBidi"/>
        </w:rPr>
        <w:t xml:space="preserve"> </w:t>
      </w:r>
      <w:r w:rsidRPr="00D77761">
        <w:rPr>
          <w:rFonts w:asciiTheme="majorBidi" w:hAnsiTheme="majorBidi" w:cstheme="majorBidi"/>
        </w:rPr>
        <w:t>Wysokość 800 mm +/- 5%, wymiar blatu: dostosowany do wymiarów defibrylatora.</w:t>
      </w:r>
    </w:p>
    <w:p w14:paraId="2BC77983" w14:textId="77777777" w:rsidR="00B11BD3" w:rsidRPr="00A12DBF" w:rsidRDefault="00B11BD3" w:rsidP="00B11BD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76. Wymagany min. o</w:t>
      </w:r>
      <w:r w:rsidRPr="00142449">
        <w:rPr>
          <w:rFonts w:asciiTheme="majorBidi" w:hAnsiTheme="majorBidi" w:cstheme="majorBidi"/>
        </w:rPr>
        <w:t xml:space="preserve">kres gwarancji </w:t>
      </w:r>
      <w:r>
        <w:rPr>
          <w:rFonts w:asciiTheme="majorBidi" w:hAnsiTheme="majorBidi" w:cstheme="majorBidi"/>
        </w:rPr>
        <w:t xml:space="preserve"> i rękojmi </w:t>
      </w:r>
      <w:r w:rsidRPr="00142449">
        <w:rPr>
          <w:rFonts w:asciiTheme="majorBidi" w:hAnsiTheme="majorBidi" w:cstheme="majorBidi"/>
        </w:rPr>
        <w:t xml:space="preserve">na </w:t>
      </w:r>
      <w:r>
        <w:rPr>
          <w:rFonts w:asciiTheme="majorBidi" w:hAnsiTheme="majorBidi" w:cstheme="majorBidi"/>
        </w:rPr>
        <w:t>sprzęt</w:t>
      </w:r>
      <w:r w:rsidRPr="00142449">
        <w:rPr>
          <w:rFonts w:asciiTheme="majorBidi" w:hAnsiTheme="majorBidi" w:cstheme="majorBidi"/>
        </w:rPr>
        <w:t xml:space="preserve"> minimum 24 miesiące</w:t>
      </w:r>
      <w:r>
        <w:rPr>
          <w:rFonts w:asciiTheme="majorBidi" w:hAnsiTheme="majorBidi" w:cstheme="majorBidi"/>
        </w:rPr>
        <w:t xml:space="preserve">. – </w:t>
      </w:r>
      <w:r w:rsidRPr="000C4981">
        <w:rPr>
          <w:rFonts w:asciiTheme="majorBidi" w:hAnsiTheme="majorBidi" w:cstheme="majorBidi"/>
          <w:b/>
          <w:bCs/>
          <w:i/>
          <w:iCs/>
        </w:rPr>
        <w:t>podanie dłuższego okresu gwarancyjnego stanowi II Kryterium wyboru oferty</w:t>
      </w:r>
    </w:p>
    <w:p w14:paraId="1E8D5CCD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302DDF84" w14:textId="77777777" w:rsidR="00B11BD3" w:rsidRPr="007B2658" w:rsidRDefault="00B11BD3" w:rsidP="00B11BD3">
      <w:pPr>
        <w:rPr>
          <w:rFonts w:ascii="Times New Roman" w:hAnsi="Times New Roman"/>
          <w:u w:val="single"/>
        </w:rPr>
      </w:pPr>
      <w:r w:rsidRPr="007B2658">
        <w:rPr>
          <w:rFonts w:ascii="Times New Roman" w:hAnsi="Times New Roman"/>
          <w:u w:val="single"/>
        </w:rPr>
        <w:lastRenderedPageBreak/>
        <w:t xml:space="preserve">Szczegółowe wymagane parametry zawiera zestawienie warunków i parametrów wymaganych – zał. </w:t>
      </w:r>
      <w:r>
        <w:rPr>
          <w:rFonts w:ascii="Times New Roman" w:hAnsi="Times New Roman"/>
          <w:u w:val="single"/>
        </w:rPr>
        <w:t>9</w:t>
      </w:r>
      <w:r w:rsidRPr="007B2658">
        <w:rPr>
          <w:rFonts w:ascii="Times New Roman" w:hAnsi="Times New Roman"/>
          <w:u w:val="single"/>
        </w:rPr>
        <w:t>.4 do SWZ</w:t>
      </w:r>
    </w:p>
    <w:p w14:paraId="6AE4A9E3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6156489F" w14:textId="77777777" w:rsidR="00B11BD3" w:rsidRPr="00A173A5" w:rsidRDefault="00B11BD3" w:rsidP="00B11BD3">
      <w:pPr>
        <w:pStyle w:val="Bezodstpw"/>
        <w:spacing w:line="276" w:lineRule="auto"/>
        <w:rPr>
          <w:rFonts w:ascii="Times New Roman" w:eastAsia="Times New Roman" w:hAnsi="Times New Roman"/>
          <w:b/>
          <w:u w:val="single"/>
        </w:rPr>
      </w:pPr>
      <w:bookmarkStart w:id="17" w:name="_Hlk150250190"/>
      <w:bookmarkStart w:id="18" w:name="_Hlk104542542"/>
      <w:bookmarkStart w:id="19" w:name="_Hlk104364414"/>
      <w:r w:rsidRPr="00A173A5">
        <w:rPr>
          <w:rFonts w:ascii="Times New Roman" w:hAnsi="Times New Roman"/>
          <w:b/>
          <w:u w:val="single"/>
        </w:rPr>
        <w:t>Pakiet 5 – Sprzęt kardiologiczny</w:t>
      </w:r>
      <w:bookmarkEnd w:id="17"/>
      <w:r w:rsidRPr="00A173A5">
        <w:rPr>
          <w:rFonts w:ascii="Times New Roman" w:eastAsia="Times New Roman" w:hAnsi="Times New Roman"/>
          <w:b/>
          <w:u w:val="single"/>
        </w:rPr>
        <w:t xml:space="preserve"> </w:t>
      </w:r>
      <w:bookmarkEnd w:id="18"/>
      <w:r w:rsidRPr="00A173A5">
        <w:rPr>
          <w:rFonts w:ascii="Times New Roman" w:eastAsia="Times New Roman" w:hAnsi="Times New Roman"/>
          <w:b/>
          <w:u w:val="single"/>
        </w:rPr>
        <w:t>.</w:t>
      </w:r>
      <w:bookmarkEnd w:id="19"/>
    </w:p>
    <w:p w14:paraId="462CEFFA" w14:textId="77777777" w:rsidR="00B11BD3" w:rsidRDefault="00B11BD3" w:rsidP="00B11BD3">
      <w:pPr>
        <w:pStyle w:val="Standard"/>
        <w:numPr>
          <w:ilvl w:val="0"/>
          <w:numId w:val="9"/>
        </w:numPr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Rejestrator holterowski z oprogramowaniem – 1 kpt.</w:t>
      </w:r>
    </w:p>
    <w:p w14:paraId="44FF1918" w14:textId="77777777" w:rsidR="00B11BD3" w:rsidRDefault="00B11BD3" w:rsidP="00B11BD3">
      <w:pPr>
        <w:pStyle w:val="Standard"/>
        <w:ind w:left="720"/>
        <w:rPr>
          <w:rFonts w:ascii="Times New Roman" w:eastAsia="Times New Roman" w:hAnsi="Times New Roman"/>
          <w:b/>
        </w:rPr>
      </w:pPr>
    </w:p>
    <w:p w14:paraId="09728E4E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Parametry:</w:t>
      </w:r>
    </w:p>
    <w:p w14:paraId="0AC9FEFC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</w:t>
      </w:r>
      <w:r w:rsidRPr="00E03CE0">
        <w:rPr>
          <w:rFonts w:ascii="Times New Roman" w:eastAsia="Calibri" w:hAnsi="Times New Roman"/>
          <w:kern w:val="2"/>
        </w:rPr>
        <w:t>. Holter EKG min.  3-kanałowy</w:t>
      </w:r>
    </w:p>
    <w:p w14:paraId="0247C951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2</w:t>
      </w:r>
      <w:r w:rsidRPr="00E03CE0">
        <w:rPr>
          <w:rFonts w:ascii="Times New Roman" w:eastAsia="Calibri" w:hAnsi="Times New Roman"/>
          <w:kern w:val="2"/>
        </w:rPr>
        <w:t>. Kompaktowa budowa max. 80 x 50 x 20 mm</w:t>
      </w:r>
    </w:p>
    <w:p w14:paraId="1702CBA5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3</w:t>
      </w:r>
      <w:r w:rsidRPr="00E03CE0">
        <w:rPr>
          <w:rFonts w:ascii="Times New Roman" w:eastAsia="Calibri" w:hAnsi="Times New Roman"/>
          <w:kern w:val="2"/>
        </w:rPr>
        <w:t>. Zasilanie akumulatorowe z jednej baterii AAA pozwalające na pracę i akwizycję pełnego zapisu sygnału, bez kompresji, przez min. 7 dni</w:t>
      </w:r>
    </w:p>
    <w:p w14:paraId="614B3AA7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4</w:t>
      </w:r>
      <w:r w:rsidRPr="00E03CE0">
        <w:rPr>
          <w:rFonts w:ascii="Times New Roman" w:eastAsia="Calibri" w:hAnsi="Times New Roman"/>
          <w:kern w:val="2"/>
        </w:rPr>
        <w:t>. Możliwość ustawienia w menu holtera typu używanej baterii w celu optymalizacji jej wykorzystania</w:t>
      </w:r>
    </w:p>
    <w:p w14:paraId="1E1614FA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5</w:t>
      </w:r>
      <w:r w:rsidRPr="00E03CE0">
        <w:rPr>
          <w:rFonts w:ascii="Times New Roman" w:eastAsia="Calibri" w:hAnsi="Times New Roman"/>
          <w:kern w:val="2"/>
        </w:rPr>
        <w:t>. Akwizycja sygnału EKG ograniczona czasowo tylko przez pojemność baterii</w:t>
      </w:r>
    </w:p>
    <w:p w14:paraId="502F7B68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6</w:t>
      </w:r>
      <w:r w:rsidRPr="00E03CE0">
        <w:rPr>
          <w:rFonts w:ascii="Times New Roman" w:eastAsia="Calibri" w:hAnsi="Times New Roman"/>
          <w:kern w:val="2"/>
        </w:rPr>
        <w:t>. Możliwość wyboru ilości kanałów do zapisu –  3,1 (w zależności od posiadanego kabla)</w:t>
      </w:r>
    </w:p>
    <w:p w14:paraId="489E34A6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7</w:t>
      </w:r>
      <w:r w:rsidRPr="00E03CE0">
        <w:rPr>
          <w:rFonts w:ascii="Times New Roman" w:eastAsia="Calibri" w:hAnsi="Times New Roman"/>
          <w:kern w:val="2"/>
        </w:rPr>
        <w:t>. Sygnalizacja niewystarczającego poziomu zasilania do przeprowadzenia badania, przed uruchomieniem badania</w:t>
      </w:r>
      <w:r>
        <w:rPr>
          <w:rFonts w:ascii="Times New Roman" w:eastAsia="Calibri" w:hAnsi="Times New Roman"/>
          <w:kern w:val="2"/>
        </w:rPr>
        <w:t>.</w:t>
      </w:r>
    </w:p>
    <w:p w14:paraId="7856A569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8</w:t>
      </w:r>
      <w:r w:rsidRPr="00E03CE0">
        <w:rPr>
          <w:rFonts w:ascii="Times New Roman" w:eastAsia="Calibri" w:hAnsi="Times New Roman"/>
          <w:kern w:val="2"/>
        </w:rPr>
        <w:t>. Odporność na zakłócenia zewnętrzne – CMRR min. 90dB</w:t>
      </w:r>
    </w:p>
    <w:p w14:paraId="2F149692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9</w:t>
      </w:r>
      <w:r w:rsidRPr="00E03CE0">
        <w:rPr>
          <w:rFonts w:ascii="Times New Roman" w:eastAsia="Calibri" w:hAnsi="Times New Roman"/>
          <w:kern w:val="2"/>
        </w:rPr>
        <w:t>. Wbudowany kolorowy ekran LCD w technologii OLED, do podglądu krzywych i obsługi menu holtera</w:t>
      </w:r>
    </w:p>
    <w:p w14:paraId="43E12865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t>1</w:t>
      </w:r>
      <w:r>
        <w:rPr>
          <w:rFonts w:ascii="Times New Roman" w:eastAsia="Calibri" w:hAnsi="Times New Roman"/>
          <w:kern w:val="2"/>
        </w:rPr>
        <w:t>0</w:t>
      </w:r>
      <w:r w:rsidRPr="00E03CE0">
        <w:rPr>
          <w:rFonts w:ascii="Times New Roman" w:eastAsia="Calibri" w:hAnsi="Times New Roman"/>
          <w:kern w:val="2"/>
        </w:rPr>
        <w:t>. Ekran LCD o rozdzielczości min. 128x128</w:t>
      </w:r>
    </w:p>
    <w:p w14:paraId="2FD77DDD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11</w:t>
      </w:r>
      <w:r w:rsidRPr="00E03CE0">
        <w:rPr>
          <w:rFonts w:ascii="Times New Roman" w:eastAsia="Calibri" w:hAnsi="Times New Roman"/>
          <w:kern w:val="2"/>
        </w:rPr>
        <w:t>. Transmisja danych do komputera poprzez port USB</w:t>
      </w:r>
    </w:p>
    <w:p w14:paraId="79045296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12</w:t>
      </w:r>
      <w:r w:rsidRPr="00E03CE0">
        <w:rPr>
          <w:rFonts w:ascii="Times New Roman" w:eastAsia="Calibri" w:hAnsi="Times New Roman"/>
          <w:kern w:val="2"/>
        </w:rPr>
        <w:t>. Jedno złącze do podłączenia przewodu pacjenta oraz kabla USB do komputera PC</w:t>
      </w:r>
    </w:p>
    <w:p w14:paraId="35E13363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13</w:t>
      </w:r>
      <w:r w:rsidRPr="00E03CE0">
        <w:rPr>
          <w:rFonts w:ascii="Times New Roman" w:eastAsia="Calibri" w:hAnsi="Times New Roman"/>
          <w:kern w:val="2"/>
        </w:rPr>
        <w:t>. Tryb szybkiego kopiowania danych (kopiowanie pełnego raportu z 7 dni w czasie &lt; 30 sekund)</w:t>
      </w:r>
    </w:p>
    <w:p w14:paraId="1B7D3036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14</w:t>
      </w:r>
      <w:r w:rsidRPr="00E03CE0">
        <w:rPr>
          <w:rFonts w:ascii="Times New Roman" w:eastAsia="Calibri" w:hAnsi="Times New Roman"/>
          <w:kern w:val="2"/>
        </w:rPr>
        <w:t xml:space="preserve">. Programowanie nośnika danych danymi badania i pacjenta przy użyciu oprogramowania do analizy holterowskiej </w:t>
      </w:r>
      <w:r w:rsidRPr="003B11F5">
        <w:rPr>
          <w:rFonts w:ascii="Times New Roman" w:eastAsia="Calibri" w:hAnsi="Times New Roman"/>
          <w:strike/>
          <w:color w:val="FF0000"/>
          <w:kern w:val="2"/>
        </w:rPr>
        <w:t>posiadanym przez Zamawiającego na Oddziale Kardiologii</w:t>
      </w:r>
    </w:p>
    <w:p w14:paraId="2CAF59E4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15</w:t>
      </w:r>
      <w:r w:rsidRPr="00E03CE0">
        <w:rPr>
          <w:rFonts w:ascii="Times New Roman" w:eastAsia="Calibri" w:hAnsi="Times New Roman"/>
          <w:kern w:val="2"/>
        </w:rPr>
        <w:t>. Detekcja pracy stymulatora serca</w:t>
      </w:r>
    </w:p>
    <w:p w14:paraId="5E18443C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16</w:t>
      </w:r>
      <w:r w:rsidRPr="00E03CE0">
        <w:rPr>
          <w:rFonts w:ascii="Times New Roman" w:eastAsia="Calibri" w:hAnsi="Times New Roman"/>
          <w:kern w:val="2"/>
        </w:rPr>
        <w:t>. Wymienna pamięć – dołączona karta SD/SDHC pozwalająca na rejestrację całego badania</w:t>
      </w:r>
    </w:p>
    <w:p w14:paraId="63FEABC7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17</w:t>
      </w:r>
      <w:r w:rsidRPr="00E03CE0">
        <w:rPr>
          <w:rFonts w:ascii="Times New Roman" w:eastAsia="Calibri" w:hAnsi="Times New Roman"/>
          <w:kern w:val="2"/>
        </w:rPr>
        <w:t>. Detekcja podłączenia elektrod – komunikat na ekranie o nieprawidłowym ich podłączeniu</w:t>
      </w:r>
    </w:p>
    <w:p w14:paraId="3C10E668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18</w:t>
      </w:r>
      <w:r w:rsidRPr="00E03CE0">
        <w:rPr>
          <w:rFonts w:ascii="Times New Roman" w:eastAsia="Calibri" w:hAnsi="Times New Roman"/>
          <w:kern w:val="2"/>
        </w:rPr>
        <w:t xml:space="preserve">. Zapis 3-kanałowy z 5 lub 7 elektrod </w:t>
      </w:r>
    </w:p>
    <w:p w14:paraId="6F63F9F2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19</w:t>
      </w:r>
      <w:r w:rsidRPr="00E03CE0">
        <w:rPr>
          <w:rFonts w:ascii="Times New Roman" w:eastAsia="Calibri" w:hAnsi="Times New Roman"/>
          <w:kern w:val="2"/>
        </w:rPr>
        <w:t>. Możliwość wprowadzenia ID pacjenta przed rozpoczęciem badania</w:t>
      </w:r>
    </w:p>
    <w:p w14:paraId="6978B4C5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20</w:t>
      </w:r>
      <w:r w:rsidRPr="00E03CE0">
        <w:rPr>
          <w:rFonts w:ascii="Times New Roman" w:eastAsia="Calibri" w:hAnsi="Times New Roman"/>
          <w:kern w:val="2"/>
        </w:rPr>
        <w:t>. Menu urządzenia w języku polskim</w:t>
      </w:r>
    </w:p>
    <w:p w14:paraId="56BBCD25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21</w:t>
      </w:r>
      <w:r w:rsidRPr="00E03CE0">
        <w:rPr>
          <w:rFonts w:ascii="Times New Roman" w:eastAsia="Calibri" w:hAnsi="Times New Roman"/>
          <w:kern w:val="2"/>
        </w:rPr>
        <w:t xml:space="preserve">. Stacja opisowa do analizy   do analiz zapisów holterowskich EKG. </w:t>
      </w:r>
    </w:p>
    <w:p w14:paraId="7DB9EDA3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22</w:t>
      </w:r>
      <w:r w:rsidRPr="00E03CE0">
        <w:rPr>
          <w:rFonts w:ascii="Times New Roman" w:eastAsia="Calibri" w:hAnsi="Times New Roman"/>
          <w:kern w:val="2"/>
        </w:rPr>
        <w:t>. Stacja opisowa wyposażona w min.:</w:t>
      </w:r>
    </w:p>
    <w:p w14:paraId="60DE8751" w14:textId="26861AD9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 xml:space="preserve">1) </w:t>
      </w:r>
      <w:r w:rsidRPr="00E03CE0">
        <w:rPr>
          <w:rFonts w:ascii="Times New Roman" w:eastAsia="Calibri" w:hAnsi="Times New Roman"/>
          <w:kern w:val="2"/>
        </w:rPr>
        <w:t>Komputer klasy PC z procesorem i5 ,</w:t>
      </w:r>
      <w:r w:rsidRPr="00B11BD3">
        <w:rPr>
          <w:rFonts w:ascii="Times New Roman" w:eastAsia="Calibri" w:hAnsi="Times New Roman"/>
          <w:color w:val="FF0000"/>
          <w:kern w:val="2"/>
        </w:rPr>
        <w:t>dysk SSD</w:t>
      </w:r>
      <w:r w:rsidR="00125F4A">
        <w:rPr>
          <w:rFonts w:ascii="Times New Roman" w:eastAsia="Calibri" w:hAnsi="Times New Roman"/>
          <w:color w:val="FF0000"/>
          <w:kern w:val="2"/>
        </w:rPr>
        <w:t xml:space="preserve"> min.</w:t>
      </w:r>
      <w:r w:rsidRPr="00B11BD3">
        <w:rPr>
          <w:rFonts w:ascii="Times New Roman" w:eastAsia="Calibri" w:hAnsi="Times New Roman"/>
          <w:color w:val="FF0000"/>
          <w:kern w:val="2"/>
        </w:rPr>
        <w:t xml:space="preserve"> 512 GB</w:t>
      </w:r>
      <w:r w:rsidRPr="00E03CE0">
        <w:rPr>
          <w:rFonts w:ascii="Times New Roman" w:eastAsia="Calibri" w:hAnsi="Times New Roman"/>
          <w:kern w:val="2"/>
        </w:rPr>
        <w:t xml:space="preserve"> </w:t>
      </w:r>
      <w:r w:rsidRPr="00B11BD3">
        <w:rPr>
          <w:rFonts w:ascii="Times New Roman" w:eastAsia="Calibri" w:hAnsi="Times New Roman"/>
          <w:color w:val="FF0000"/>
          <w:kern w:val="2"/>
        </w:rPr>
        <w:t>pamięć RAM 16 GB</w:t>
      </w:r>
      <w:r w:rsidRPr="00E03CE0">
        <w:rPr>
          <w:rFonts w:ascii="Times New Roman" w:eastAsia="Calibri" w:hAnsi="Times New Roman"/>
          <w:kern w:val="2"/>
        </w:rPr>
        <w:t>, monitor 22 cale.</w:t>
      </w:r>
    </w:p>
    <w:p w14:paraId="53FA0711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lastRenderedPageBreak/>
        <w:t xml:space="preserve"> </w:t>
      </w:r>
      <w:r>
        <w:rPr>
          <w:rFonts w:ascii="Times New Roman" w:eastAsia="Calibri" w:hAnsi="Times New Roman"/>
          <w:kern w:val="2"/>
        </w:rPr>
        <w:t xml:space="preserve">2) </w:t>
      </w:r>
      <w:r w:rsidRPr="00E03CE0">
        <w:rPr>
          <w:rFonts w:ascii="Times New Roman" w:eastAsia="Calibri" w:hAnsi="Times New Roman"/>
          <w:kern w:val="2"/>
        </w:rPr>
        <w:t xml:space="preserve">System operacyjny  wraz z oprogramowaniem do analizy preinstalowany na komputerze. </w:t>
      </w:r>
      <w:r w:rsidRPr="00E03CE0">
        <w:rPr>
          <w:rFonts w:ascii="Times New Roman" w:eastAsia="Calibri" w:hAnsi="Times New Roman"/>
          <w:kern w:val="2"/>
        </w:rPr>
        <w:tab/>
      </w:r>
      <w:r w:rsidRPr="00E03CE0">
        <w:rPr>
          <w:rFonts w:ascii="Times New Roman" w:eastAsia="Calibri" w:hAnsi="Times New Roman"/>
          <w:kern w:val="2"/>
        </w:rPr>
        <w:tab/>
      </w:r>
    </w:p>
    <w:p w14:paraId="39EDEC72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>
        <w:rPr>
          <w:rFonts w:ascii="Times New Roman" w:eastAsia="Calibri" w:hAnsi="Times New Roman"/>
          <w:kern w:val="2"/>
        </w:rPr>
        <w:t>23</w:t>
      </w:r>
      <w:r w:rsidRPr="00E03CE0">
        <w:rPr>
          <w:rFonts w:ascii="Times New Roman" w:eastAsia="Calibri" w:hAnsi="Times New Roman"/>
          <w:kern w:val="2"/>
        </w:rPr>
        <w:t>. W zestawie:</w:t>
      </w:r>
    </w:p>
    <w:p w14:paraId="7794A003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t>- rejestrator holterowski  z oprogramowaniem na nośniku pamięci typu CD lub USB</w:t>
      </w:r>
    </w:p>
    <w:p w14:paraId="1BCB81B0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t>- kabel EKG – 5-elektrodowy (2</w:t>
      </w:r>
      <w:r>
        <w:rPr>
          <w:rFonts w:ascii="Times New Roman" w:eastAsia="Calibri" w:hAnsi="Times New Roman"/>
          <w:kern w:val="2"/>
        </w:rPr>
        <w:t xml:space="preserve"> kpt. </w:t>
      </w:r>
      <w:r w:rsidRPr="00E03CE0">
        <w:rPr>
          <w:rFonts w:ascii="Times New Roman" w:eastAsia="Calibri" w:hAnsi="Times New Roman"/>
          <w:kern w:val="2"/>
        </w:rPr>
        <w:t>)</w:t>
      </w:r>
    </w:p>
    <w:p w14:paraId="693AF44F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t>- pasek i etui na holter</w:t>
      </w:r>
    </w:p>
    <w:p w14:paraId="15BB5D75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t>- kabel USB do podłączenia do komputera</w:t>
      </w:r>
    </w:p>
    <w:p w14:paraId="4FFD146A" w14:textId="77777777" w:rsidR="00B11BD3" w:rsidRPr="00E03CE0" w:rsidRDefault="00B11BD3" w:rsidP="00B11BD3">
      <w:pPr>
        <w:suppressAutoHyphens w:val="0"/>
        <w:spacing w:after="160" w:line="259" w:lineRule="auto"/>
        <w:rPr>
          <w:rFonts w:ascii="Times New Roman" w:eastAsia="Calibri" w:hAnsi="Times New Roman"/>
          <w:kern w:val="2"/>
        </w:rPr>
      </w:pPr>
      <w:r w:rsidRPr="00E03CE0">
        <w:rPr>
          <w:rFonts w:ascii="Times New Roman" w:eastAsia="Calibri" w:hAnsi="Times New Roman"/>
          <w:kern w:val="2"/>
        </w:rPr>
        <w:t>-stacja opisowa z preinstalowanym oprogramowaniem</w:t>
      </w:r>
    </w:p>
    <w:p w14:paraId="4B18FA6D" w14:textId="77777777" w:rsidR="00B11BD3" w:rsidRPr="004F74BF" w:rsidRDefault="00B11BD3" w:rsidP="00B11BD3">
      <w:pPr>
        <w:pStyle w:val="Standard"/>
        <w:rPr>
          <w:rFonts w:ascii="Times New Roman" w:hAnsi="Times New Roman"/>
          <w:b/>
          <w:bCs/>
        </w:rPr>
      </w:pPr>
    </w:p>
    <w:p w14:paraId="184BF646" w14:textId="77777777" w:rsidR="00B11BD3" w:rsidRDefault="00B11BD3" w:rsidP="00B11BD3">
      <w:pPr>
        <w:pStyle w:val="Standard"/>
        <w:numPr>
          <w:ilvl w:val="0"/>
          <w:numId w:val="9"/>
        </w:numPr>
        <w:rPr>
          <w:rFonts w:ascii="Times New Roman" w:hAnsi="Times New Roman"/>
          <w:u w:val="single"/>
        </w:rPr>
      </w:pPr>
      <w:r w:rsidRPr="004F74BF">
        <w:rPr>
          <w:rFonts w:ascii="Times New Roman" w:hAnsi="Times New Roman"/>
          <w:b/>
          <w:bCs/>
        </w:rPr>
        <w:t>Ambulatoryjny monitor ciśnienia krwi</w:t>
      </w:r>
      <w:r>
        <w:rPr>
          <w:rFonts w:ascii="Times New Roman" w:hAnsi="Times New Roman"/>
          <w:b/>
          <w:bCs/>
        </w:rPr>
        <w:t xml:space="preserve"> – 1 kpt.</w:t>
      </w:r>
    </w:p>
    <w:p w14:paraId="1A25BC1B" w14:textId="77777777" w:rsidR="00B11BD3" w:rsidRDefault="00B11BD3" w:rsidP="00B11BD3">
      <w:pPr>
        <w:pStyle w:val="Standard"/>
        <w:rPr>
          <w:rFonts w:ascii="Times New Roman" w:hAnsi="Times New Roman"/>
          <w:u w:val="single"/>
        </w:rPr>
      </w:pPr>
    </w:p>
    <w:p w14:paraId="34AE1494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Parametry:</w:t>
      </w:r>
    </w:p>
    <w:p w14:paraId="15583128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1. Rejestrator cyfrowy RR z pamięcią wewnętrzną typu flash</w:t>
      </w:r>
    </w:p>
    <w:p w14:paraId="736298A1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 xml:space="preserve">2. Metoda pomiarowa – oscylometryczna z deflacją skokową </w:t>
      </w:r>
    </w:p>
    <w:p w14:paraId="2886552C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3. Zakres pomiarowy RR min 25-290mmHg</w:t>
      </w:r>
    </w:p>
    <w:p w14:paraId="447E360D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4. Zakres pomiarowy tętna min  40-240 uderzeń /min</w:t>
      </w:r>
    </w:p>
    <w:p w14:paraId="38EC6BFC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 xml:space="preserve">5. Czas trwania rejestracji min do 24 h w programowalnych interwałach 10/15/30/45/60/90/120 min </w:t>
      </w:r>
      <w:r>
        <w:rPr>
          <w:rFonts w:asciiTheme="majorBidi" w:hAnsiTheme="majorBidi" w:cstheme="majorBidi"/>
        </w:rPr>
        <w:t xml:space="preserve">. </w:t>
      </w:r>
      <w:r w:rsidRPr="002139E7">
        <w:rPr>
          <w:rFonts w:asciiTheme="majorBidi" w:hAnsiTheme="majorBidi" w:cstheme="majorBidi"/>
        </w:rPr>
        <w:t>Możliwością stworzenia kilku  interwałów programowalnych  pomiarowych w czasie zapisu 24h</w:t>
      </w:r>
    </w:p>
    <w:p w14:paraId="60F78587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6. Dokładność kliniczna- rozdzielczość pomiaru  Ciśnienie: 1 mmHg, Puls: 1 bpm</w:t>
      </w:r>
    </w:p>
    <w:p w14:paraId="12CA63DD" w14:textId="70CBC48F" w:rsidR="00B11BD3" w:rsidRPr="003B11F5" w:rsidRDefault="00B11BD3" w:rsidP="00B11BD3">
      <w:pPr>
        <w:rPr>
          <w:rFonts w:asciiTheme="majorBidi" w:hAnsiTheme="majorBidi" w:cstheme="majorBidi"/>
          <w:color w:val="FF0000"/>
        </w:rPr>
      </w:pPr>
      <w:r w:rsidRPr="003B11F5">
        <w:rPr>
          <w:rFonts w:asciiTheme="majorBidi" w:hAnsiTheme="majorBidi" w:cstheme="majorBidi"/>
          <w:color w:val="FF0000"/>
        </w:rPr>
        <w:t xml:space="preserve">7. Pamięć danych przechowuje min. </w:t>
      </w:r>
      <w:r w:rsidR="003B11F5" w:rsidRPr="003B11F5">
        <w:rPr>
          <w:rFonts w:asciiTheme="majorBidi" w:hAnsiTheme="majorBidi" w:cstheme="majorBidi"/>
          <w:color w:val="FF0000"/>
        </w:rPr>
        <w:t>3</w:t>
      </w:r>
      <w:r w:rsidRPr="003B11F5">
        <w:rPr>
          <w:rFonts w:asciiTheme="majorBidi" w:hAnsiTheme="majorBidi" w:cstheme="majorBidi"/>
          <w:color w:val="FF0000"/>
        </w:rPr>
        <w:t>00 pomiarów</w:t>
      </w:r>
    </w:p>
    <w:p w14:paraId="7965C443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8. Transmisja USB lub bezprzewodowa (bluetooth)</w:t>
      </w:r>
    </w:p>
    <w:p w14:paraId="50273A45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9. Wyświetlacz prezentujący bieżący/ostatni pomiar</w:t>
      </w:r>
    </w:p>
    <w:p w14:paraId="0BF353B1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10. Zasilanie max 2 baterie AA</w:t>
      </w:r>
    </w:p>
    <w:p w14:paraId="10DE72FD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11. Zabezpieczenie przed zbyt wysokim ciśnieniem w mankiecie. Max 297±3 mmHg</w:t>
      </w:r>
    </w:p>
    <w:p w14:paraId="40EE048A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12. Stopień bezpieczeństwa przed ciałami obcymi, szkodliwym przedostawaniem się wody min. IP22</w:t>
      </w:r>
    </w:p>
    <w:p w14:paraId="0630F78E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13. Wymiary max 110x65x30 mm</w:t>
      </w:r>
    </w:p>
    <w:p w14:paraId="1F95B8C3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14. Waga max 170 g</w:t>
      </w:r>
    </w:p>
    <w:p w14:paraId="4DDDD0D4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15. Rejestrator wyposażony w:</w:t>
      </w:r>
    </w:p>
    <w:p w14:paraId="51A13380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- mankiet NIBP rozmiar S</w:t>
      </w:r>
      <w:r>
        <w:rPr>
          <w:rFonts w:asciiTheme="majorBidi" w:hAnsiTheme="majorBidi" w:cstheme="majorBidi"/>
        </w:rPr>
        <w:t xml:space="preserve"> – 2 szt.</w:t>
      </w:r>
    </w:p>
    <w:p w14:paraId="30419137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- mankiet NIBP rozmiar M</w:t>
      </w:r>
      <w:r>
        <w:rPr>
          <w:rFonts w:asciiTheme="majorBidi" w:hAnsiTheme="majorBidi" w:cstheme="majorBidi"/>
        </w:rPr>
        <w:t xml:space="preserve"> – 2 szt.</w:t>
      </w:r>
    </w:p>
    <w:p w14:paraId="5E6CAB0B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- mankiet NIBP rozmiar L</w:t>
      </w:r>
      <w:r>
        <w:rPr>
          <w:rFonts w:asciiTheme="majorBidi" w:hAnsiTheme="majorBidi" w:cstheme="majorBidi"/>
        </w:rPr>
        <w:t xml:space="preserve"> – 2 szt.</w:t>
      </w:r>
    </w:p>
    <w:p w14:paraId="09EAAA74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-pas z etui/pokrowiec zabezpieczający rejestrator</w:t>
      </w:r>
      <w:r>
        <w:rPr>
          <w:rFonts w:asciiTheme="majorBidi" w:hAnsiTheme="majorBidi" w:cstheme="majorBidi"/>
        </w:rPr>
        <w:t xml:space="preserve"> – 2 szt.</w:t>
      </w:r>
    </w:p>
    <w:p w14:paraId="0A99D55F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lastRenderedPageBreak/>
        <w:t>-rurka NIBP</w:t>
      </w:r>
      <w:r>
        <w:rPr>
          <w:rFonts w:asciiTheme="majorBidi" w:hAnsiTheme="majorBidi" w:cstheme="majorBidi"/>
        </w:rPr>
        <w:t xml:space="preserve"> – 2 szt.</w:t>
      </w:r>
    </w:p>
    <w:p w14:paraId="4A9B5DF3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-przewód USB</w:t>
      </w:r>
    </w:p>
    <w:p w14:paraId="45701535" w14:textId="77777777" w:rsidR="00B11BD3" w:rsidRPr="002139E7" w:rsidRDefault="00B11BD3" w:rsidP="00B11BD3">
      <w:pPr>
        <w:rPr>
          <w:rFonts w:asciiTheme="majorBidi" w:hAnsiTheme="majorBidi" w:cstheme="majorBidi"/>
        </w:rPr>
      </w:pPr>
      <w:r w:rsidRPr="002139E7">
        <w:rPr>
          <w:rFonts w:asciiTheme="majorBidi" w:hAnsiTheme="majorBidi" w:cstheme="majorBidi"/>
        </w:rPr>
        <w:t>- oprogramowanie do analizy na płycie lub nośniku USB</w:t>
      </w:r>
    </w:p>
    <w:p w14:paraId="77EA7B9A" w14:textId="77777777" w:rsidR="00B11BD3" w:rsidRDefault="00B11BD3" w:rsidP="00B11BD3">
      <w:pPr>
        <w:pStyle w:val="Standard"/>
        <w:rPr>
          <w:rFonts w:ascii="Times New Roman" w:hAnsi="Times New Roman"/>
          <w:u w:val="single"/>
        </w:rPr>
      </w:pPr>
    </w:p>
    <w:p w14:paraId="7994AB9E" w14:textId="77777777" w:rsidR="00B11BD3" w:rsidRDefault="00B11BD3" w:rsidP="00B11BD3">
      <w:pPr>
        <w:pStyle w:val="Standard"/>
        <w:rPr>
          <w:rFonts w:ascii="Times New Roman" w:hAnsi="Times New Roman"/>
          <w:u w:val="single"/>
        </w:rPr>
      </w:pPr>
    </w:p>
    <w:p w14:paraId="5788C329" w14:textId="77777777" w:rsidR="00B11BD3" w:rsidRPr="007B2658" w:rsidRDefault="00B11BD3" w:rsidP="00B11BD3">
      <w:pPr>
        <w:pStyle w:val="Standard"/>
        <w:rPr>
          <w:rFonts w:ascii="Calibri" w:eastAsia="Calibri" w:hAnsi="Calibri" w:cs="Calibri"/>
          <w:b/>
          <w:sz w:val="22"/>
          <w:u w:val="single"/>
        </w:rPr>
      </w:pPr>
      <w:r w:rsidRPr="007B2658">
        <w:rPr>
          <w:rFonts w:ascii="Times New Roman" w:hAnsi="Times New Roman"/>
          <w:u w:val="single"/>
        </w:rPr>
        <w:t xml:space="preserve">Szczegółowe wymagane parametry zawiera zestawienie warunków i parametrów wymaganych – zał. </w:t>
      </w:r>
      <w:r>
        <w:rPr>
          <w:rFonts w:ascii="Times New Roman" w:hAnsi="Times New Roman"/>
          <w:u w:val="single"/>
        </w:rPr>
        <w:t>9</w:t>
      </w:r>
      <w:r w:rsidRPr="007B2658">
        <w:rPr>
          <w:rFonts w:ascii="Times New Roman" w:hAnsi="Times New Roman"/>
          <w:u w:val="single"/>
        </w:rPr>
        <w:t>.5 do SWZ</w:t>
      </w:r>
    </w:p>
    <w:p w14:paraId="34B3D1FD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718BA56F" w14:textId="77777777" w:rsidR="00B11BD3" w:rsidRDefault="00B11BD3" w:rsidP="00B11BD3">
      <w:pPr>
        <w:pStyle w:val="Standard"/>
        <w:rPr>
          <w:rFonts w:ascii="Times New Roman" w:eastAsia="Times New Roman" w:hAnsi="Times New Roman"/>
          <w:b/>
        </w:rPr>
      </w:pPr>
    </w:p>
    <w:p w14:paraId="15567AF4" w14:textId="77777777" w:rsidR="00B11BD3" w:rsidRPr="00A173A5" w:rsidRDefault="00B11BD3" w:rsidP="00B11BD3">
      <w:pPr>
        <w:pStyle w:val="Standard"/>
        <w:rPr>
          <w:rFonts w:ascii="Times New Roman" w:eastAsia="Arial" w:hAnsi="Times New Roman"/>
          <w:b/>
          <w:bCs/>
          <w:u w:val="single"/>
        </w:rPr>
      </w:pPr>
      <w:bookmarkStart w:id="20" w:name="_Hlk76545418"/>
      <w:bookmarkStart w:id="21" w:name="_Hlk150250213"/>
      <w:bookmarkStart w:id="22" w:name="_Hlk141172406"/>
      <w:r w:rsidRPr="00A173A5">
        <w:rPr>
          <w:rFonts w:eastAsia="Arial"/>
          <w:b/>
          <w:bCs/>
          <w:u w:val="single"/>
        </w:rPr>
        <w:t xml:space="preserve">Pakiet 6 – </w:t>
      </w:r>
      <w:bookmarkEnd w:id="20"/>
      <w:r w:rsidRPr="00A173A5">
        <w:rPr>
          <w:rFonts w:eastAsia="Arial"/>
          <w:b/>
          <w:bCs/>
          <w:u w:val="single"/>
        </w:rPr>
        <w:t>Spirometr</w:t>
      </w:r>
      <w:bookmarkEnd w:id="21"/>
      <w:r w:rsidRPr="00A173A5">
        <w:rPr>
          <w:rFonts w:eastAsia="Arial"/>
          <w:b/>
          <w:bCs/>
          <w:u w:val="single"/>
        </w:rPr>
        <w:t xml:space="preserve"> </w:t>
      </w:r>
      <w:r w:rsidRPr="00A173A5">
        <w:rPr>
          <w:rFonts w:ascii="Times New Roman" w:eastAsia="Arial" w:hAnsi="Times New Roman"/>
          <w:b/>
          <w:bCs/>
          <w:u w:val="single"/>
        </w:rPr>
        <w:t xml:space="preserve"> – 1 kpt.</w:t>
      </w:r>
      <w:bookmarkEnd w:id="22"/>
    </w:p>
    <w:p w14:paraId="31B79E36" w14:textId="77777777" w:rsidR="00B11BD3" w:rsidRDefault="00B11BD3" w:rsidP="00B11BD3">
      <w:pPr>
        <w:snapToGrid w:val="0"/>
        <w:rPr>
          <w:rFonts w:asciiTheme="majorBidi" w:hAnsiTheme="majorBidi" w:cstheme="majorBidi"/>
        </w:rPr>
      </w:pPr>
    </w:p>
    <w:p w14:paraId="6C3D409A" w14:textId="77777777" w:rsidR="00B11BD3" w:rsidRDefault="00B11BD3" w:rsidP="00B11BD3">
      <w:pPr>
        <w:snapToGrid w:val="0"/>
        <w:rPr>
          <w:rFonts w:ascii="Times New Roman" w:eastAsia="Times New Roman" w:hAnsi="Times New Roman"/>
          <w:b/>
        </w:rPr>
      </w:pPr>
      <w:r w:rsidRPr="00F242AE">
        <w:rPr>
          <w:rFonts w:asciiTheme="majorBidi" w:hAnsiTheme="majorBidi" w:cstheme="majorBidi"/>
        </w:rPr>
        <w:t xml:space="preserve">Spirometr </w:t>
      </w:r>
      <w:r w:rsidRPr="007A5BE3">
        <w:rPr>
          <w:rFonts w:ascii="Times New Roman" w:eastAsia="Times New Roman" w:hAnsi="Times New Roman"/>
          <w:sz w:val="24"/>
          <w:szCs w:val="24"/>
          <w:lang w:eastAsia="pl-PL"/>
        </w:rPr>
        <w:t>z możliwością pomiaru SPO2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F242AE">
        <w:rPr>
          <w:rStyle w:val="Pogrubienie"/>
          <w:rFonts w:asciiTheme="majorBidi" w:hAnsiTheme="majorBidi" w:cstheme="majorBidi"/>
          <w:color w:val="2980B9"/>
        </w:rPr>
        <w:t xml:space="preserve"> </w:t>
      </w:r>
      <w:r>
        <w:rPr>
          <w:rFonts w:asciiTheme="majorBidi" w:hAnsiTheme="majorBidi" w:cstheme="majorBidi"/>
        </w:rPr>
        <w:t>przeznaczony do</w:t>
      </w:r>
      <w:r w:rsidRPr="00F242AE">
        <w:rPr>
          <w:rFonts w:asciiTheme="majorBidi" w:hAnsiTheme="majorBidi" w:cstheme="majorBidi"/>
        </w:rPr>
        <w:t xml:space="preserve">  diagnosty</w:t>
      </w:r>
      <w:r>
        <w:rPr>
          <w:rFonts w:asciiTheme="majorBidi" w:hAnsiTheme="majorBidi" w:cstheme="majorBidi"/>
        </w:rPr>
        <w:t>ki</w:t>
      </w:r>
      <w:r w:rsidRPr="00F242AE">
        <w:rPr>
          <w:rFonts w:asciiTheme="majorBidi" w:hAnsiTheme="majorBidi" w:cstheme="majorBidi"/>
        </w:rPr>
        <w:t xml:space="preserve"> chorób układu oddechowego </w:t>
      </w:r>
      <w:r>
        <w:rPr>
          <w:rFonts w:asciiTheme="majorBidi" w:hAnsiTheme="majorBidi" w:cstheme="majorBidi"/>
        </w:rPr>
        <w:t>i</w:t>
      </w:r>
      <w:r w:rsidRPr="00F242AE">
        <w:rPr>
          <w:rFonts w:asciiTheme="majorBidi" w:hAnsiTheme="majorBidi" w:cstheme="majorBidi"/>
        </w:rPr>
        <w:t xml:space="preserve"> wykonywania nieinwazyjnych badań pojemności płuc (wydolności oddechowej).</w:t>
      </w:r>
    </w:p>
    <w:p w14:paraId="04E43CA0" w14:textId="77777777" w:rsidR="00B11BD3" w:rsidRDefault="00B11BD3" w:rsidP="00B11BD3">
      <w:pPr>
        <w:snapToGrid w:val="0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Parametry:</w:t>
      </w:r>
    </w:p>
    <w:p w14:paraId="42F67029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</w:t>
      </w:r>
      <w:r>
        <w:rPr>
          <w:rFonts w:asciiTheme="majorBidi" w:eastAsia="Times New Roman" w:hAnsiTheme="majorBidi" w:cstheme="majorBidi"/>
          <w:b/>
          <w:bCs/>
          <w:lang w:eastAsia="pl-PL"/>
        </w:rPr>
        <w:t>D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>uży, kolorowy, dotykowy</w:t>
      </w:r>
      <w:r>
        <w:rPr>
          <w:rFonts w:asciiTheme="majorBidi" w:eastAsia="Times New Roman" w:hAnsiTheme="majorBidi" w:cstheme="majorBidi"/>
          <w:b/>
          <w:bCs/>
          <w:lang w:eastAsia="pl-PL"/>
        </w:rPr>
        <w:t xml:space="preserve"> min. 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7-calowy wyświetlacz LCD </w:t>
      </w:r>
      <w:r w:rsidRPr="00150CB9">
        <w:rPr>
          <w:rFonts w:asciiTheme="majorBidi" w:eastAsia="Times New Roman" w:hAnsiTheme="majorBidi" w:cstheme="majorBidi"/>
          <w:lang w:eastAsia="pl-PL"/>
        </w:rPr>
        <w:t>zapewniający czytelność wyników i komfort pracy.</w:t>
      </w:r>
    </w:p>
    <w:p w14:paraId="0339AAEB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Połączenie USB oraz bluetooth </w:t>
      </w:r>
      <w:r>
        <w:rPr>
          <w:rFonts w:asciiTheme="majorBidi" w:eastAsia="Times New Roman" w:hAnsiTheme="majorBidi" w:cstheme="majorBidi"/>
          <w:b/>
          <w:bCs/>
          <w:lang w:eastAsia="pl-PL"/>
        </w:rPr>
        <w:t>z komputerem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>.</w:t>
      </w:r>
    </w:p>
    <w:p w14:paraId="565E9A90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b/>
          <w:bCs/>
          <w:lang w:eastAsia="pl-PL"/>
        </w:rPr>
        <w:t xml:space="preserve">Wbudowana 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>drukarka termiczna  </w:t>
      </w:r>
      <w:r w:rsidRPr="00150CB9">
        <w:rPr>
          <w:rFonts w:asciiTheme="majorBidi" w:eastAsia="Times New Roman" w:hAnsiTheme="majorBidi" w:cstheme="majorBidi"/>
          <w:lang w:eastAsia="pl-PL"/>
        </w:rPr>
        <w:t>z konfigurowalnym formatem wydruku.</w:t>
      </w:r>
    </w:p>
    <w:p w14:paraId="065C7211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150CB9">
        <w:rPr>
          <w:rFonts w:asciiTheme="majorBidi" w:eastAsia="Times New Roman" w:hAnsiTheme="majorBidi" w:cstheme="majorBidi"/>
          <w:b/>
          <w:bCs/>
          <w:lang w:eastAsia="pl-PL"/>
        </w:rPr>
        <w:t>Baza danych do 10 000 testów </w:t>
      </w:r>
      <w:r w:rsidRPr="00150CB9">
        <w:rPr>
          <w:rFonts w:asciiTheme="majorBidi" w:eastAsia="Times New Roman" w:hAnsiTheme="majorBidi" w:cstheme="majorBidi"/>
          <w:lang w:eastAsia="pl-PL"/>
        </w:rPr>
        <w:t>spirometrycznych lub 900 godzin nagrywania oksymetrycznego (w opc.</w:t>
      </w:r>
      <w:r>
        <w:rPr>
          <w:rFonts w:asciiTheme="majorBidi" w:eastAsia="Times New Roman" w:hAnsiTheme="majorBidi" w:cstheme="majorBidi"/>
          <w:lang w:eastAsia="pl-PL"/>
        </w:rPr>
        <w:t>)</w:t>
      </w:r>
    </w:p>
    <w:p w14:paraId="2390A1F0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150CB9">
        <w:rPr>
          <w:rFonts w:asciiTheme="majorBidi" w:eastAsia="Times New Roman" w:hAnsiTheme="majorBidi" w:cstheme="majorBidi"/>
          <w:lang w:eastAsia="pl-PL"/>
        </w:rPr>
        <w:t>Pomiar za pomocą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cyfrowych turbin</w:t>
      </w:r>
      <w:r w:rsidRPr="00150CB9">
        <w:rPr>
          <w:rFonts w:asciiTheme="majorBidi" w:eastAsia="Times New Roman" w:hAnsiTheme="majorBidi" w:cstheme="majorBidi"/>
          <w:lang w:eastAsia="pl-PL"/>
        </w:rPr>
        <w:t>.</w:t>
      </w:r>
    </w:p>
    <w:p w14:paraId="7EA12AA8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>Wbudowany</w:t>
      </w:r>
      <w:r w:rsidRPr="00150CB9">
        <w:rPr>
          <w:rFonts w:asciiTheme="majorBidi" w:eastAsia="Times New Roman" w:hAnsiTheme="majorBidi" w:cstheme="majorBidi"/>
          <w:lang w:eastAsia="pl-PL"/>
        </w:rPr>
        <w:t xml:space="preserve"> 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>wewnętrzny czujnik temperatury</w:t>
      </w:r>
      <w:r w:rsidRPr="00150CB9">
        <w:rPr>
          <w:rFonts w:asciiTheme="majorBidi" w:eastAsia="Times New Roman" w:hAnsiTheme="majorBidi" w:cstheme="majorBidi"/>
          <w:lang w:eastAsia="pl-PL"/>
        </w:rPr>
        <w:t xml:space="preserve"> </w:t>
      </w:r>
      <w:r>
        <w:rPr>
          <w:rFonts w:asciiTheme="majorBidi" w:eastAsia="Times New Roman" w:hAnsiTheme="majorBidi" w:cstheme="majorBidi"/>
          <w:lang w:eastAsia="pl-PL"/>
        </w:rPr>
        <w:t>.</w:t>
      </w:r>
    </w:p>
    <w:p w14:paraId="07EE7143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>Możliwość wyświetlenia w</w:t>
      </w:r>
      <w:r w:rsidRPr="00150CB9">
        <w:rPr>
          <w:rFonts w:asciiTheme="majorBidi" w:eastAsia="Times New Roman" w:hAnsiTheme="majorBidi" w:cstheme="majorBidi"/>
          <w:lang w:eastAsia="pl-PL"/>
        </w:rPr>
        <w:t>ynik</w:t>
      </w:r>
      <w:r>
        <w:rPr>
          <w:rFonts w:asciiTheme="majorBidi" w:eastAsia="Times New Roman" w:hAnsiTheme="majorBidi" w:cstheme="majorBidi"/>
          <w:lang w:eastAsia="pl-PL"/>
        </w:rPr>
        <w:t>ów</w:t>
      </w:r>
      <w:r w:rsidRPr="00150CB9">
        <w:rPr>
          <w:rFonts w:asciiTheme="majorBidi" w:eastAsia="Times New Roman" w:hAnsiTheme="majorBidi" w:cstheme="majorBidi"/>
          <w:lang w:eastAsia="pl-PL"/>
        </w:rPr>
        <w:t xml:space="preserve"> badań  na ekranie, wydrukowan</w:t>
      </w:r>
      <w:r>
        <w:rPr>
          <w:rFonts w:asciiTheme="majorBidi" w:eastAsia="Times New Roman" w:hAnsiTheme="majorBidi" w:cstheme="majorBidi"/>
          <w:lang w:eastAsia="pl-PL"/>
        </w:rPr>
        <w:t>ia</w:t>
      </w:r>
      <w:r w:rsidRPr="00150CB9">
        <w:rPr>
          <w:rFonts w:asciiTheme="majorBidi" w:eastAsia="Times New Roman" w:hAnsiTheme="majorBidi" w:cstheme="majorBidi"/>
          <w:lang w:eastAsia="pl-PL"/>
        </w:rPr>
        <w:t xml:space="preserve"> na drukarce termicznej, jak również  podłączenia spirometru do komputera, przesłania danych i korzystania z 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oprogramowania spirometrycznego WinSpiro PRO</w:t>
      </w:r>
      <w:r w:rsidRPr="00150CB9">
        <w:rPr>
          <w:rFonts w:asciiTheme="majorBidi" w:eastAsia="Times New Roman" w:hAnsiTheme="majorBidi" w:cstheme="majorBidi"/>
          <w:lang w:eastAsia="pl-PL"/>
        </w:rPr>
        <w:t>.</w:t>
      </w:r>
    </w:p>
    <w:p w14:paraId="617BBF20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150CB9">
        <w:rPr>
          <w:rFonts w:asciiTheme="majorBidi" w:eastAsia="Times New Roman" w:hAnsiTheme="majorBidi" w:cstheme="majorBidi"/>
          <w:lang w:eastAsia="pl-PL"/>
        </w:rPr>
        <w:t xml:space="preserve">Spirometr </w:t>
      </w:r>
      <w:r>
        <w:rPr>
          <w:rFonts w:asciiTheme="majorBidi" w:eastAsia="Times New Roman" w:hAnsiTheme="majorBidi" w:cstheme="majorBidi"/>
          <w:lang w:eastAsia="pl-PL"/>
        </w:rPr>
        <w:t>z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wewnętrzny</w:t>
      </w:r>
      <w:r>
        <w:rPr>
          <w:rFonts w:asciiTheme="majorBidi" w:eastAsia="Times New Roman" w:hAnsiTheme="majorBidi" w:cstheme="majorBidi"/>
          <w:b/>
          <w:bCs/>
          <w:lang w:eastAsia="pl-PL"/>
        </w:rPr>
        <w:t>m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akumulator</w:t>
      </w:r>
      <w:r>
        <w:rPr>
          <w:rFonts w:asciiTheme="majorBidi" w:eastAsia="Times New Roman" w:hAnsiTheme="majorBidi" w:cstheme="majorBidi"/>
          <w:b/>
          <w:bCs/>
          <w:lang w:eastAsia="pl-PL"/>
        </w:rPr>
        <w:t>em</w:t>
      </w:r>
      <w:r w:rsidRPr="00150CB9">
        <w:rPr>
          <w:rFonts w:asciiTheme="majorBidi" w:eastAsia="Times New Roman" w:hAnsiTheme="majorBidi" w:cstheme="majorBidi"/>
          <w:lang w:eastAsia="pl-PL"/>
        </w:rPr>
        <w:t xml:space="preserve"> o  żywotności </w:t>
      </w:r>
      <w:r>
        <w:rPr>
          <w:rFonts w:asciiTheme="majorBidi" w:eastAsia="Times New Roman" w:hAnsiTheme="majorBidi" w:cstheme="majorBidi"/>
          <w:lang w:eastAsia="pl-PL"/>
        </w:rPr>
        <w:t xml:space="preserve"> min. 10 godz. w</w:t>
      </w:r>
      <w:r w:rsidRPr="00150CB9">
        <w:rPr>
          <w:rFonts w:asciiTheme="majorBidi" w:eastAsia="Times New Roman" w:hAnsiTheme="majorBidi" w:cstheme="majorBidi"/>
          <w:lang w:eastAsia="pl-PL"/>
        </w:rPr>
        <w:t>raz</w:t>
      </w:r>
      <w:r>
        <w:rPr>
          <w:rFonts w:asciiTheme="majorBidi" w:eastAsia="Times New Roman" w:hAnsiTheme="majorBidi" w:cstheme="majorBidi"/>
          <w:lang w:eastAsia="pl-PL"/>
        </w:rPr>
        <w:t xml:space="preserve"> z </w:t>
      </w:r>
      <w:r w:rsidRPr="00150CB9">
        <w:rPr>
          <w:rFonts w:asciiTheme="majorBidi" w:eastAsia="Times New Roman" w:hAnsiTheme="majorBidi" w:cstheme="majorBidi"/>
          <w:lang w:eastAsia="pl-PL"/>
        </w:rPr>
        <w:t xml:space="preserve"> 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>torb</w:t>
      </w:r>
      <w:r>
        <w:rPr>
          <w:rFonts w:asciiTheme="majorBidi" w:eastAsia="Times New Roman" w:hAnsiTheme="majorBidi" w:cstheme="majorBidi"/>
          <w:b/>
          <w:bCs/>
          <w:lang w:eastAsia="pl-PL"/>
        </w:rPr>
        <w:t>ą</w:t>
      </w:r>
      <w:r w:rsidRPr="00150CB9">
        <w:rPr>
          <w:rFonts w:asciiTheme="majorBidi" w:eastAsia="Times New Roman" w:hAnsiTheme="majorBidi" w:cstheme="majorBidi"/>
          <w:b/>
          <w:bCs/>
          <w:lang w:eastAsia="pl-PL"/>
        </w:rPr>
        <w:t xml:space="preserve"> transportową</w:t>
      </w:r>
      <w:r w:rsidRPr="00150CB9">
        <w:rPr>
          <w:rFonts w:asciiTheme="majorBidi" w:eastAsia="Times New Roman" w:hAnsiTheme="majorBidi" w:cstheme="majorBidi"/>
          <w:lang w:eastAsia="pl-PL"/>
        </w:rPr>
        <w:t>.</w:t>
      </w:r>
    </w:p>
    <w:p w14:paraId="636019C5" w14:textId="77777777" w:rsidR="00B11BD3" w:rsidRPr="00150CB9" w:rsidRDefault="00B11BD3" w:rsidP="00B11BD3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150CB9">
        <w:rPr>
          <w:rFonts w:asciiTheme="majorBidi" w:eastAsia="Times New Roman" w:hAnsiTheme="majorBidi" w:cstheme="majorBidi"/>
          <w:lang w:eastAsia="pl-PL"/>
        </w:rPr>
        <w:t>Oprogramowanie w języku polskim.</w:t>
      </w:r>
    </w:p>
    <w:p w14:paraId="78C99106" w14:textId="77777777" w:rsidR="00B11BD3" w:rsidRDefault="00B11BD3" w:rsidP="00B11BD3">
      <w:pPr>
        <w:pStyle w:val="Akapitzlist"/>
        <w:numPr>
          <w:ilvl w:val="0"/>
          <w:numId w:val="12"/>
        </w:numPr>
        <w:rPr>
          <w:rStyle w:val="Pogrubienie"/>
          <w:rFonts w:asciiTheme="majorBidi" w:hAnsiTheme="majorBidi" w:cstheme="majorBidi"/>
        </w:rPr>
      </w:pPr>
      <w:r w:rsidRPr="00AC51F2">
        <w:rPr>
          <w:rStyle w:val="Pogrubienie"/>
          <w:rFonts w:asciiTheme="majorBidi" w:hAnsiTheme="majorBidi" w:cstheme="majorBidi"/>
        </w:rPr>
        <w:t>Oprogramowanie spirometryczne WinspiroPro</w:t>
      </w:r>
      <w:r>
        <w:rPr>
          <w:rStyle w:val="Pogrubienie"/>
          <w:rFonts w:asciiTheme="majorBidi" w:hAnsiTheme="majorBidi" w:cstheme="majorBidi"/>
        </w:rPr>
        <w:t>.</w:t>
      </w:r>
    </w:p>
    <w:p w14:paraId="67CD9A0C" w14:textId="77777777" w:rsidR="00B11BD3" w:rsidRPr="00C443C8" w:rsidRDefault="00B11BD3" w:rsidP="00B11BD3">
      <w:pPr>
        <w:pStyle w:val="Akapitzlist"/>
        <w:numPr>
          <w:ilvl w:val="0"/>
          <w:numId w:val="12"/>
        </w:numPr>
        <w:rPr>
          <w:rFonts w:asciiTheme="majorBidi" w:hAnsiTheme="majorBidi" w:cstheme="majorBidi"/>
          <w:b/>
          <w:bCs/>
        </w:rPr>
      </w:pPr>
      <w:r w:rsidRPr="00C443C8">
        <w:rPr>
          <w:rFonts w:asciiTheme="majorBidi" w:eastAsia="Times New Roman" w:hAnsiTheme="majorBidi" w:cstheme="majorBidi"/>
          <w:b/>
          <w:bCs/>
          <w:lang w:eastAsia="pl-PL"/>
        </w:rPr>
        <w:t>Mierzone parametry:</w:t>
      </w:r>
    </w:p>
    <w:p w14:paraId="559BBCC3" w14:textId="77777777" w:rsidR="00B11BD3" w:rsidRDefault="00B11BD3" w:rsidP="00B11BD3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CB6CF1">
        <w:rPr>
          <w:rFonts w:asciiTheme="majorBidi" w:eastAsia="Times New Roman" w:hAnsiTheme="majorBidi" w:cstheme="majorBidi"/>
          <w:lang w:eastAsia="pl-PL"/>
        </w:rPr>
        <w:t>FVC, FEV1, FEV1/FVC, FEV1/VC, PEF, FEF25, FEF50, FEF75, FEF25?75, FEF75?85, Lung Age, Extrapolated Volume, FET, Time to PEF, FEV0.5, FEV0.5/FVC, FEV0.75, FEV0.75/FVC, FEV2, FEV2/FVC, FEV3, FEV3/FVC, FEV6, FEV1/ FEV6, FEV1/PEF, FEV1/ FEV0.5, FIVC, FIV1, FIV1/FIVC, PIF, FIF25, FIF50, FIF75, FEF50/FIF50, VC, IVC, IC, ERV, IRV, Rf, VE, VT, tI, tE, VT/tI, tE/tTOT, MVV (measured), MVV (calculated).</w:t>
      </w:r>
      <w:r w:rsidRPr="00CB6CF1">
        <w:rPr>
          <w:rFonts w:asciiTheme="majorBidi" w:eastAsia="Times New Roman" w:hAnsiTheme="majorBidi" w:cstheme="majorBidi"/>
          <w:lang w:eastAsia="pl-PL"/>
        </w:rPr>
        <w:br/>
      </w:r>
    </w:p>
    <w:p w14:paraId="52A56F16" w14:textId="77777777" w:rsidR="00B11BD3" w:rsidRPr="002A1060" w:rsidRDefault="00B11BD3" w:rsidP="00B11BD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2A1060">
        <w:rPr>
          <w:rFonts w:asciiTheme="majorBidi" w:eastAsia="Times New Roman" w:hAnsiTheme="majorBidi" w:cstheme="majorBidi"/>
          <w:b/>
          <w:bCs/>
          <w:lang w:eastAsia="pl-PL"/>
        </w:rPr>
        <w:t>Moduł pulsoksymetrii</w:t>
      </w:r>
    </w:p>
    <w:p w14:paraId="2FA38E90" w14:textId="77777777" w:rsidR="00B11BD3" w:rsidRPr="00C443C8" w:rsidRDefault="00B11BD3" w:rsidP="00B11BD3">
      <w:pPr>
        <w:pStyle w:val="Akapitzlist"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8"/>
        <w:gridCol w:w="3627"/>
      </w:tblGrid>
      <w:tr w:rsidR="00B11BD3" w:rsidRPr="00CB6CF1" w14:paraId="4AC6DA90" w14:textId="77777777" w:rsidTr="00614D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0EF8C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Metoda pomiaru</w:t>
            </w:r>
          </w:p>
        </w:tc>
        <w:tc>
          <w:tcPr>
            <w:tcW w:w="0" w:type="auto"/>
            <w:vAlign w:val="center"/>
            <w:hideMark/>
          </w:tcPr>
          <w:p w14:paraId="2912A168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Absorpcja czerwieni i podczerwieni</w:t>
            </w:r>
          </w:p>
        </w:tc>
      </w:tr>
      <w:tr w:rsidR="00B11BD3" w:rsidRPr="00CB6CF1" w14:paraId="152191D8" w14:textId="77777777" w:rsidTr="00614D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BA09A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Zakres SpO2</w:t>
            </w:r>
          </w:p>
        </w:tc>
        <w:tc>
          <w:tcPr>
            <w:tcW w:w="0" w:type="auto"/>
            <w:vAlign w:val="center"/>
            <w:hideMark/>
          </w:tcPr>
          <w:p w14:paraId="3E0D0910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0-99%</w:t>
            </w:r>
          </w:p>
        </w:tc>
      </w:tr>
      <w:tr w:rsidR="00B11BD3" w:rsidRPr="00CB6CF1" w14:paraId="5D936E8C" w14:textId="77777777" w:rsidTr="00614D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4B594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Dokładność SpO2</w:t>
            </w:r>
          </w:p>
        </w:tc>
        <w:tc>
          <w:tcPr>
            <w:tcW w:w="0" w:type="auto"/>
            <w:vAlign w:val="center"/>
            <w:hideMark/>
          </w:tcPr>
          <w:p w14:paraId="3816CBC1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2% pomiędzy 70 -99% SpO2</w:t>
            </w:r>
          </w:p>
        </w:tc>
      </w:tr>
      <w:tr w:rsidR="00B11BD3" w:rsidRPr="00CB6CF1" w14:paraId="14E7C7E4" w14:textId="77777777" w:rsidTr="00614D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4DCFA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Zakres częstotliwości tętna</w:t>
            </w:r>
          </w:p>
        </w:tc>
        <w:tc>
          <w:tcPr>
            <w:tcW w:w="0" w:type="auto"/>
            <w:vAlign w:val="center"/>
            <w:hideMark/>
          </w:tcPr>
          <w:p w14:paraId="619E6724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18-300 BPM</w:t>
            </w:r>
          </w:p>
        </w:tc>
      </w:tr>
      <w:tr w:rsidR="00B11BD3" w:rsidRPr="00CB6CF1" w14:paraId="7361764B" w14:textId="77777777" w:rsidTr="00614D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C3A51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lastRenderedPageBreak/>
              <w:t>Mierzone parametry</w:t>
            </w:r>
          </w:p>
        </w:tc>
        <w:tc>
          <w:tcPr>
            <w:tcW w:w="0" w:type="auto"/>
            <w:vAlign w:val="center"/>
            <w:hideMark/>
          </w:tcPr>
          <w:p w14:paraId="7385E9A6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SpO2% min, max, średnie</w:t>
            </w:r>
            <w:r w:rsidRPr="00CB6CF1">
              <w:rPr>
                <w:rFonts w:asciiTheme="majorBidi" w:eastAsia="Times New Roman" w:hAnsiTheme="majorBidi" w:cstheme="majorBidi"/>
                <w:lang w:eastAsia="pl-PL"/>
              </w:rPr>
              <w:br/>
              <w:t>BPM min, max, średnie</w:t>
            </w:r>
            <w:r w:rsidRPr="00CB6CF1">
              <w:rPr>
                <w:rFonts w:asciiTheme="majorBidi" w:eastAsia="Times New Roman" w:hAnsiTheme="majorBidi" w:cstheme="majorBidi"/>
                <w:lang w:eastAsia="pl-PL"/>
              </w:rPr>
              <w:br/>
              <w:t>Czas testu</w:t>
            </w:r>
            <w:r w:rsidRPr="00CB6CF1">
              <w:rPr>
                <w:rFonts w:asciiTheme="majorBidi" w:eastAsia="Times New Roman" w:hAnsiTheme="majorBidi" w:cstheme="majorBidi"/>
                <w:lang w:eastAsia="pl-PL"/>
              </w:rPr>
              <w:br/>
              <w:t>% Czas trwania Bradykardii (&lt;40 BPM)</w:t>
            </w:r>
            <w:r w:rsidRPr="00CB6CF1">
              <w:rPr>
                <w:rFonts w:asciiTheme="majorBidi" w:eastAsia="Times New Roman" w:hAnsiTheme="majorBidi" w:cstheme="majorBidi"/>
                <w:lang w:eastAsia="pl-PL"/>
              </w:rPr>
              <w:br/>
              <w:t>% Czas trwania Tachykardii (&gt;120</w:t>
            </w:r>
            <w:r w:rsidRPr="00CB6CF1">
              <w:rPr>
                <w:rFonts w:asciiTheme="majorBidi" w:eastAsia="Times New Roman" w:hAnsiTheme="majorBidi" w:cstheme="majorBidi"/>
                <w:lang w:eastAsia="pl-PL"/>
              </w:rPr>
              <w:br/>
              <w:t>BPM)</w:t>
            </w:r>
            <w:r w:rsidRPr="00CB6CF1">
              <w:rPr>
                <w:rFonts w:asciiTheme="majorBidi" w:eastAsia="Times New Roman" w:hAnsiTheme="majorBidi" w:cstheme="majorBidi"/>
                <w:lang w:eastAsia="pl-PL"/>
              </w:rPr>
              <w:br/>
              <w:t>% Czasu z SpO2 ≤90% (T90%, T89%)</w:t>
            </w:r>
          </w:p>
        </w:tc>
      </w:tr>
      <w:tr w:rsidR="00B11BD3" w:rsidRPr="00CB6CF1" w14:paraId="4C07ADEC" w14:textId="77777777" w:rsidTr="00614D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41826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Pojemność pamięci</w:t>
            </w:r>
          </w:p>
        </w:tc>
        <w:tc>
          <w:tcPr>
            <w:tcW w:w="0" w:type="auto"/>
            <w:vAlign w:val="center"/>
            <w:hideMark/>
          </w:tcPr>
          <w:p w14:paraId="211F6237" w14:textId="77777777" w:rsidR="00B11BD3" w:rsidRPr="00CB6CF1" w:rsidRDefault="00B11BD3" w:rsidP="00614D90">
            <w:pPr>
              <w:spacing w:after="0" w:line="240" w:lineRule="auto"/>
              <w:rPr>
                <w:rFonts w:asciiTheme="majorBidi" w:eastAsia="Times New Roman" w:hAnsiTheme="majorBidi" w:cstheme="majorBidi"/>
                <w:lang w:eastAsia="pl-PL"/>
              </w:rPr>
            </w:pPr>
            <w:r w:rsidRPr="00CB6CF1">
              <w:rPr>
                <w:rFonts w:asciiTheme="majorBidi" w:eastAsia="Times New Roman" w:hAnsiTheme="majorBidi" w:cstheme="majorBidi"/>
                <w:lang w:eastAsia="pl-PL"/>
              </w:rPr>
              <w:t>do 300 godzin pulsoksymetrii</w:t>
            </w:r>
          </w:p>
        </w:tc>
      </w:tr>
    </w:tbl>
    <w:p w14:paraId="5DA81DAF" w14:textId="77777777" w:rsidR="00B11BD3" w:rsidRPr="00CB6CF1" w:rsidRDefault="00B11BD3" w:rsidP="00B11BD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hAnsiTheme="majorBidi" w:cstheme="majorBidi"/>
        </w:rPr>
        <w:t>Wymagany min. o</w:t>
      </w:r>
      <w:r w:rsidRPr="00142449">
        <w:rPr>
          <w:rFonts w:asciiTheme="majorBidi" w:hAnsiTheme="majorBidi" w:cstheme="majorBidi"/>
        </w:rPr>
        <w:t xml:space="preserve">kres gwarancji </w:t>
      </w:r>
      <w:r>
        <w:rPr>
          <w:rFonts w:asciiTheme="majorBidi" w:hAnsiTheme="majorBidi" w:cstheme="majorBidi"/>
        </w:rPr>
        <w:t xml:space="preserve"> i rękojmi </w:t>
      </w:r>
      <w:r w:rsidRPr="00142449">
        <w:rPr>
          <w:rFonts w:asciiTheme="majorBidi" w:hAnsiTheme="majorBidi" w:cstheme="majorBidi"/>
        </w:rPr>
        <w:t xml:space="preserve">na </w:t>
      </w:r>
      <w:r>
        <w:rPr>
          <w:rFonts w:asciiTheme="majorBidi" w:hAnsiTheme="majorBidi" w:cstheme="majorBidi"/>
        </w:rPr>
        <w:t>sprzęt</w:t>
      </w:r>
      <w:r w:rsidRPr="00142449">
        <w:rPr>
          <w:rFonts w:asciiTheme="majorBidi" w:hAnsiTheme="majorBidi" w:cstheme="majorBidi"/>
        </w:rPr>
        <w:t xml:space="preserve"> minimum 24 miesiące</w:t>
      </w:r>
      <w:r>
        <w:rPr>
          <w:rFonts w:asciiTheme="majorBidi" w:hAnsiTheme="majorBidi" w:cstheme="majorBidi"/>
        </w:rPr>
        <w:t xml:space="preserve">. – </w:t>
      </w:r>
      <w:r w:rsidRPr="000C4981">
        <w:rPr>
          <w:rFonts w:asciiTheme="majorBidi" w:hAnsiTheme="majorBidi" w:cstheme="majorBidi"/>
          <w:b/>
          <w:bCs/>
          <w:i/>
          <w:iCs/>
        </w:rPr>
        <w:t>podanie dłuższego okresu gwarancyjnego stanowi II Kryterium wyboru oferty</w:t>
      </w:r>
      <w:r w:rsidRPr="00CB6CF1">
        <w:rPr>
          <w:rFonts w:asciiTheme="majorBidi" w:eastAsia="Times New Roman" w:hAnsiTheme="majorBidi" w:cstheme="majorBidi"/>
          <w:lang w:eastAsia="pl-PL"/>
        </w:rPr>
        <w:t> </w:t>
      </w:r>
    </w:p>
    <w:p w14:paraId="1587B272" w14:textId="77777777" w:rsidR="00B11BD3" w:rsidRPr="00CB6CF1" w:rsidRDefault="00B11BD3" w:rsidP="00B11BD3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CB6CF1">
        <w:rPr>
          <w:rFonts w:asciiTheme="majorBidi" w:eastAsia="Times New Roman" w:hAnsiTheme="majorBidi" w:cstheme="majorBidi"/>
          <w:b/>
          <w:bCs/>
          <w:lang w:eastAsia="pl-PL"/>
        </w:rPr>
        <w:t>Wyposażenie :</w:t>
      </w:r>
    </w:p>
    <w:p w14:paraId="11D57A29" w14:textId="77777777" w:rsidR="00B11BD3" w:rsidRDefault="00B11BD3" w:rsidP="00B11BD3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 w:rsidRPr="00CB6CF1">
        <w:rPr>
          <w:rFonts w:asciiTheme="majorBidi" w:eastAsia="Times New Roman" w:hAnsiTheme="majorBidi" w:cstheme="majorBidi"/>
          <w:lang w:eastAsia="pl-PL"/>
        </w:rPr>
        <w:t>– CD z oprogramowaniem „Winspiro PRO”</w:t>
      </w:r>
      <w:r w:rsidRPr="00CB6CF1">
        <w:rPr>
          <w:rFonts w:asciiTheme="majorBidi" w:eastAsia="Times New Roman" w:hAnsiTheme="majorBidi" w:cstheme="majorBidi"/>
          <w:lang w:eastAsia="pl-PL"/>
        </w:rPr>
        <w:br/>
        <w:t>– kabel USB</w:t>
      </w:r>
      <w:r w:rsidRPr="00CB6CF1">
        <w:rPr>
          <w:rFonts w:asciiTheme="majorBidi" w:eastAsia="Times New Roman" w:hAnsiTheme="majorBidi" w:cstheme="majorBidi"/>
          <w:lang w:eastAsia="pl-PL"/>
        </w:rPr>
        <w:br/>
        <w:t>– wysokiej jakości torba transportowa</w:t>
      </w:r>
      <w:r w:rsidRPr="00CB6CF1">
        <w:rPr>
          <w:rFonts w:asciiTheme="majorBidi" w:eastAsia="Times New Roman" w:hAnsiTheme="majorBidi" w:cstheme="majorBidi"/>
          <w:lang w:eastAsia="pl-PL"/>
        </w:rPr>
        <w:br/>
        <w:t>– klips na nos</w:t>
      </w:r>
      <w:r w:rsidRPr="00CB6CF1">
        <w:rPr>
          <w:rFonts w:asciiTheme="majorBidi" w:eastAsia="Times New Roman" w:hAnsiTheme="majorBidi" w:cstheme="majorBidi"/>
          <w:lang w:eastAsia="pl-PL"/>
        </w:rPr>
        <w:br/>
        <w:t>– rolka papieru do drukarki</w:t>
      </w:r>
    </w:p>
    <w:p w14:paraId="45BC39F5" w14:textId="77777777" w:rsidR="00B11BD3" w:rsidRPr="002A1060" w:rsidRDefault="00B11BD3" w:rsidP="00B11BD3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>- turbiny jednorazowe dedykowane do modelu urządzenia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A5BE3">
        <w:rPr>
          <w:rFonts w:ascii="Times New Roman" w:eastAsia="Times New Roman" w:hAnsi="Times New Roman"/>
          <w:sz w:val="24"/>
          <w:szCs w:val="24"/>
          <w:lang w:eastAsia="pl-PL"/>
        </w:rPr>
        <w:t>zgodn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7A5BE3">
        <w:rPr>
          <w:rFonts w:ascii="Times New Roman" w:eastAsia="Times New Roman" w:hAnsi="Times New Roman"/>
          <w:sz w:val="24"/>
          <w:szCs w:val="24"/>
          <w:lang w:eastAsia="pl-PL"/>
        </w:rPr>
        <w:t xml:space="preserve"> ze standardem ATS / ERS . Nie wymaga kalibracji. Nadaje się również do stosowania w pediatrii bez potrzeby stosowania adaptera.</w:t>
      </w:r>
      <w:r>
        <w:rPr>
          <w:rFonts w:asciiTheme="majorBidi" w:eastAsia="Times New Roman" w:hAnsiTheme="majorBidi" w:cstheme="majorBidi"/>
          <w:lang w:eastAsia="pl-PL"/>
        </w:rPr>
        <w:t xml:space="preserve"> – 2 opak.</w:t>
      </w:r>
    </w:p>
    <w:p w14:paraId="61083548" w14:textId="77777777" w:rsidR="00B11BD3" w:rsidRPr="001861B3" w:rsidRDefault="00B11BD3" w:rsidP="00B11BD3">
      <w:pPr>
        <w:pStyle w:val="Standard"/>
        <w:rPr>
          <w:rFonts w:ascii="Calibri" w:eastAsia="Calibri" w:hAnsi="Calibri" w:cs="Calibri"/>
          <w:b/>
          <w:sz w:val="22"/>
          <w:u w:val="single"/>
        </w:rPr>
      </w:pPr>
      <w:r w:rsidRPr="001861B3">
        <w:rPr>
          <w:rFonts w:ascii="Times New Roman" w:hAnsi="Times New Roman"/>
          <w:u w:val="single"/>
        </w:rPr>
        <w:t>Szczegółowe wymagane parametry zawiera zestawienie warunków i parametrów wymaganych – zał. 9.6 do SWZ</w:t>
      </w:r>
    </w:p>
    <w:p w14:paraId="12F0FDBA" w14:textId="77777777" w:rsidR="00B11BD3" w:rsidRPr="004F74BF" w:rsidRDefault="00B11BD3" w:rsidP="00B11BD3">
      <w:pPr>
        <w:pStyle w:val="Akapitzlist"/>
        <w:snapToGrid w:val="0"/>
        <w:ind w:left="1080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14:paraId="424271A2" w14:textId="77777777" w:rsidR="00B11BD3" w:rsidRDefault="00B11BD3" w:rsidP="00B11BD3">
      <w:pPr>
        <w:pStyle w:val="Akapitzlist"/>
        <w:snapToGrid w:val="0"/>
        <w:ind w:left="1080"/>
        <w:rPr>
          <w:rFonts w:ascii="Times New Roman" w:hAnsi="Times New Roman"/>
          <w:b/>
          <w:sz w:val="24"/>
          <w:szCs w:val="24"/>
          <w:u w:val="single"/>
        </w:rPr>
      </w:pPr>
    </w:p>
    <w:p w14:paraId="0A0E1C03" w14:textId="77777777" w:rsidR="00B11BD3" w:rsidRDefault="00B11BD3" w:rsidP="00B11BD3">
      <w:pPr>
        <w:pStyle w:val="Akapitzlist"/>
        <w:numPr>
          <w:ilvl w:val="0"/>
          <w:numId w:val="7"/>
        </w:numPr>
        <w:snapToGrid w:val="0"/>
        <w:rPr>
          <w:rFonts w:ascii="Times New Roman" w:hAnsi="Times New Roman"/>
          <w:b/>
          <w:sz w:val="24"/>
          <w:szCs w:val="24"/>
          <w:u w:val="single"/>
        </w:rPr>
      </w:pPr>
      <w:r w:rsidRPr="001A39A3">
        <w:rPr>
          <w:rFonts w:ascii="Times New Roman" w:hAnsi="Times New Roman"/>
          <w:b/>
          <w:sz w:val="24"/>
          <w:szCs w:val="24"/>
          <w:u w:val="single"/>
        </w:rPr>
        <w:t xml:space="preserve">Dodatkowe wymagania Zamawiającego dotyczące wszystkich Pakietów : </w:t>
      </w:r>
    </w:p>
    <w:p w14:paraId="5A554F7E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>Wykonawca winien zapewnić:</w:t>
      </w:r>
    </w:p>
    <w:p w14:paraId="15D77BA7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>-   szkolenie obsługi, szkolenie personelu technicznego przy odbiorze technicznym produktów,</w:t>
      </w:r>
    </w:p>
    <w:p w14:paraId="06AF7835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>-  gwarancja i rękojmia min. 24 miesiące ( podanie wydłużonego okresu gwarancji  stanowi II kryterium wyboru oferty)</w:t>
      </w:r>
    </w:p>
    <w:p w14:paraId="14A3481F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>-  serwis pogwarancyjny, odpłatny przez okres min. 10 lat,( podanie nazwy i adresu serwisu)</w:t>
      </w:r>
    </w:p>
    <w:p w14:paraId="57128FF2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>-  gwarancja zapewnienia zakupu części zamiennych przez okres 10 lat,</w:t>
      </w:r>
    </w:p>
    <w:p w14:paraId="7E292A13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 xml:space="preserve">-  czas reakcji serwisu max. </w:t>
      </w:r>
      <w:r>
        <w:rPr>
          <w:rFonts w:ascii="Times New Roman" w:hAnsi="Times New Roman"/>
          <w:b/>
          <w:sz w:val="24"/>
          <w:szCs w:val="24"/>
          <w:u w:val="single"/>
        </w:rPr>
        <w:t>48</w:t>
      </w:r>
      <w:r w:rsidRPr="00B06EFF">
        <w:rPr>
          <w:rFonts w:ascii="Times New Roman" w:hAnsi="Times New Roman"/>
          <w:b/>
          <w:sz w:val="24"/>
          <w:szCs w:val="24"/>
          <w:u w:val="single"/>
        </w:rPr>
        <w:t xml:space="preserve"> godz.</w:t>
      </w:r>
    </w:p>
    <w:p w14:paraId="0C402214" w14:textId="77777777" w:rsidR="00B11BD3" w:rsidRPr="00B06EFF" w:rsidRDefault="00B11BD3" w:rsidP="00B11BD3">
      <w:pPr>
        <w:snapToGrid w:val="0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B06EFF">
        <w:rPr>
          <w:rFonts w:ascii="Times New Roman" w:hAnsi="Times New Roman"/>
          <w:b/>
          <w:sz w:val="24"/>
          <w:szCs w:val="24"/>
          <w:u w:val="single"/>
        </w:rPr>
        <w:t>- zapewnienie sprzętu zastępczego na czas naprawy urządzenia podstawowego</w:t>
      </w:r>
    </w:p>
    <w:p w14:paraId="13680075" w14:textId="77777777" w:rsidR="00B11BD3" w:rsidRDefault="00B11BD3" w:rsidP="00B11BD3">
      <w:pPr>
        <w:pStyle w:val="Akapitzlist"/>
        <w:snapToGrid w:val="0"/>
        <w:ind w:left="1440"/>
        <w:rPr>
          <w:rFonts w:ascii="Times New Roman" w:hAnsi="Times New Roman"/>
          <w:sz w:val="24"/>
          <w:szCs w:val="24"/>
        </w:rPr>
      </w:pPr>
    </w:p>
    <w:p w14:paraId="17E63BE8" w14:textId="77777777" w:rsidR="00B11BD3" w:rsidRDefault="00B11BD3" w:rsidP="00B11BD3">
      <w:pPr>
        <w:pStyle w:val="Akapitzlist"/>
        <w:snapToGrid w:val="0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Urządzenia winny posiadać (dostarczyć na wezwanie Zamawiającego dokumenty lub oświadczenia):</w:t>
      </w:r>
    </w:p>
    <w:p w14:paraId="7694FDFB" w14:textId="77777777" w:rsidR="00B11BD3" w:rsidRDefault="00B11BD3" w:rsidP="00B11BD3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Wpis do Rejestru Wyrobów Medycznych</w:t>
      </w:r>
    </w:p>
    <w:p w14:paraId="4CE08A0F" w14:textId="77777777" w:rsidR="00B11BD3" w:rsidRPr="00992B22" w:rsidRDefault="00B11BD3" w:rsidP="00B11BD3">
      <w:pPr>
        <w:numPr>
          <w:ilvl w:val="0"/>
          <w:numId w:val="1"/>
        </w:numPr>
        <w:snapToGri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Certyfikat potwierdzający posiadanie znaku CE, </w:t>
      </w:r>
    </w:p>
    <w:p w14:paraId="5D1D2F4C" w14:textId="77777777" w:rsidR="00B11BD3" w:rsidRDefault="00B11BD3" w:rsidP="00B11BD3">
      <w:pPr>
        <w:pStyle w:val="Akapitzlist"/>
        <w:snapToGrid w:val="0"/>
        <w:rPr>
          <w:rFonts w:ascii="Times New Roman" w:hAnsi="Times New Roman"/>
          <w:sz w:val="24"/>
          <w:szCs w:val="24"/>
        </w:rPr>
      </w:pPr>
    </w:p>
    <w:p w14:paraId="43AC6C3F" w14:textId="77777777" w:rsidR="00B11BD3" w:rsidRDefault="00B11BD3" w:rsidP="00B11BD3">
      <w:pPr>
        <w:pStyle w:val="Akapitzlist"/>
        <w:numPr>
          <w:ilvl w:val="0"/>
          <w:numId w:val="2"/>
        </w:numPr>
        <w:snapToGri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oferty  należy dołączyć:</w:t>
      </w:r>
    </w:p>
    <w:p w14:paraId="48C18D78" w14:textId="77777777" w:rsidR="00B11BD3" w:rsidRDefault="00B11BD3" w:rsidP="00B11BD3">
      <w:pPr>
        <w:pStyle w:val="Akapitzlist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materiały informacyjne Producenta lub Dystrybutora w języku polskim, zawierające pełne dane techniczne, w których winny być zaznaczone informacje potwierdzające spełnienie wymagań parametrów granicznych i ocenianych.</w:t>
      </w:r>
    </w:p>
    <w:p w14:paraId="445D139A" w14:textId="77777777" w:rsidR="00B11BD3" w:rsidRDefault="00B11BD3" w:rsidP="00B11BD3">
      <w:pPr>
        <w:pStyle w:val="Akapitzlist"/>
        <w:snapToGri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u w:val="single"/>
        </w:rPr>
        <w:t>- w przypadku wątpliwości co do zaoferowanych parametrów, Zamawiający zastrzega sobie możliwość wezwania oferenta do prezentacji oferowanego wyrobu</w:t>
      </w:r>
    </w:p>
    <w:p w14:paraId="41C5E113" w14:textId="77777777" w:rsidR="00B11BD3" w:rsidRDefault="00B11BD3" w:rsidP="00B11BD3">
      <w:pPr>
        <w:pStyle w:val="Akapitzlist"/>
        <w:snapToGrid w:val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Uwaga: </w:t>
      </w:r>
    </w:p>
    <w:p w14:paraId="5F585F7B" w14:textId="77777777" w:rsidR="00B11BD3" w:rsidRDefault="00B11BD3" w:rsidP="00B11BD3">
      <w:pPr>
        <w:ind w:left="-5" w:right="14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1)Podane  w  uszczegółowieniu  nazwy  własne  produktów, procesów lub technologii  mają  tylko  charakter  informacyjny  w  celu  określenia  jakości  standardu  wykonania  i  nie  naruszają  zasad  uczciwej konkurencji  </w:t>
      </w:r>
    </w:p>
    <w:p w14:paraId="5C53D9C2" w14:textId="77777777" w:rsidR="00B11BD3" w:rsidRDefault="00B11BD3" w:rsidP="00B11BD3">
      <w:pPr>
        <w:spacing w:after="196"/>
        <w:ind w:left="-5" w:right="14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Produkty  równoważne  muszą  być  zgodne  z  opisem  zamówienia  i  muszą  odpowiadać  wszystkim  parametrom  technicznych,  wielkością  oraz  funkcjonalnością  określonymi  w  standardzie  wykonania. </w:t>
      </w:r>
    </w:p>
    <w:p w14:paraId="17D5CCC8" w14:textId="77777777" w:rsidR="00B11BD3" w:rsidRDefault="00B11BD3" w:rsidP="00B11BD3">
      <w:pPr>
        <w:spacing w:after="185"/>
        <w:ind w:left="-5" w:right="14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Materiały i urządzenia równoważne: </w:t>
      </w:r>
    </w:p>
    <w:p w14:paraId="001DDE51" w14:textId="77777777" w:rsidR="00B11BD3" w:rsidRDefault="00B11BD3" w:rsidP="00B11BD3">
      <w:pPr>
        <w:spacing w:after="112"/>
        <w:ind w:left="-5" w:right="14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Jeżeli w opisie przedmiotu zamówienia w niniejszym postępowaniu znajdują się jakiekolwiek znaki towarowe, patenty czy pochodzenie, źródła lub szczególne procesy, które charakteryzują produkty lub usługi dostarczane przez konkretnego Wykonawcę, Zamawiający dopuszcza rozwiązania równoważne („lub równoważne” – art. 99  ustawy nPzp). Dotyczą one wszystkich elementów / składników opisu przedmiotu zamówienia w niniejszym postępowaniu, które są wymagane od Wykonawcy. Zamawiający przygotowując opis przedmiotu zamówienia w niniejszym postępowaniu starał się wskazać wszystkie znane mu przypadki i w każdym z nich podał zasady oceny rozwiązań równoważnych. Jeżeli Wykonawca stwierdzi / zauważy, analizując opis przedmiotu zamówienia, że nie są to wszystkie przypadki, prosi się Wykonawcę, aby niezwłocznie/przed terminem składania ofert przekazał Zamawiającemu tą informację </w:t>
      </w:r>
      <w:r>
        <w:rPr>
          <w:rFonts w:ascii="Times New Roman" w:hAnsi="Times New Roman"/>
          <w:u w:val="single" w:color="000000"/>
        </w:rPr>
        <w:t>wskazując to w zapytaniu dotyczącym opisu przedmiotu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 w:color="000000"/>
        </w:rPr>
        <w:t>zamówienia</w:t>
      </w:r>
      <w:r>
        <w:rPr>
          <w:rFonts w:ascii="Times New Roman" w:hAnsi="Times New Roman"/>
        </w:rPr>
        <w:t xml:space="preserve"> i zasad oceny rozwiązań równoważnych. </w:t>
      </w:r>
    </w:p>
    <w:p w14:paraId="14E66BBF" w14:textId="77777777" w:rsidR="00B11BD3" w:rsidRDefault="00B11BD3" w:rsidP="00B11BD3">
      <w:pPr>
        <w:numPr>
          <w:ilvl w:val="0"/>
          <w:numId w:val="3"/>
        </w:numPr>
        <w:spacing w:after="151" w:line="264" w:lineRule="auto"/>
        <w:ind w:right="1410" w:hanging="360"/>
        <w:rPr>
          <w:rFonts w:ascii="Times New Roman" w:hAnsi="Times New Roman"/>
        </w:rPr>
      </w:pPr>
      <w:r>
        <w:rPr>
          <w:rFonts w:ascii="Times New Roman" w:hAnsi="Times New Roman"/>
        </w:rPr>
        <w:t>Zasady oceny rozwiązań równoważnych obowiązujące w niniejszym postępowaniu obejmują zakres badania i oceny ofert, gdzie nie wypełnienie wszystkich elementów tego opisu może być podstawą do odrzucenia oferty (</w:t>
      </w:r>
      <w:hyperlink r:id="rId7" w:anchor="/document/18903829?unitId=art(226)ust(1)pkt(5)&amp;cm=DOCUMENT" w:history="1">
        <w:r>
          <w:rPr>
            <w:rStyle w:val="czeinternetowe"/>
            <w:rFonts w:ascii="Times New Roman" w:hAnsi="Times New Roman"/>
          </w:rPr>
          <w:t>art. 226 ust. 1 pkt 5</w:t>
        </w:r>
      </w:hyperlink>
      <w:r>
        <w:rPr>
          <w:rFonts w:ascii="Times New Roman" w:hAnsi="Times New Roman"/>
        </w:rPr>
        <w:t xml:space="preserve"> n.P.z.p).  </w:t>
      </w:r>
    </w:p>
    <w:p w14:paraId="66C03934" w14:textId="77777777" w:rsidR="00B11BD3" w:rsidRDefault="00B11BD3" w:rsidP="00B11BD3">
      <w:pPr>
        <w:numPr>
          <w:ilvl w:val="0"/>
          <w:numId w:val="3"/>
        </w:numPr>
        <w:spacing w:after="3" w:line="264" w:lineRule="auto"/>
        <w:ind w:right="141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Zasady oceny rozwiązania równoważnego będą także obowiązywać w trakcie realizacji umowy, gdzie w przypadku zamiaru wprowadzenia w trakcie realizacji umowy (Zamawiający lub </w:t>
      </w:r>
    </w:p>
    <w:p w14:paraId="775F7EA6" w14:textId="77777777" w:rsidR="00B11BD3" w:rsidRDefault="00B11BD3" w:rsidP="00B11BD3">
      <w:pPr>
        <w:spacing w:after="181" w:line="228" w:lineRule="auto"/>
        <w:ind w:left="-15" w:right="202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Wykonawca) rozwiązania równoważnego przewidzianego zapisami niniejszej  SWZ  i opisu przedmiotu będą stanowiły między innymi o tym, czy Zamawiający może dopuścić rozwiązanie równoważne czy też nie. </w:t>
      </w:r>
    </w:p>
    <w:p w14:paraId="258A94E7" w14:textId="77777777" w:rsidR="00B11BD3" w:rsidRDefault="00B11BD3" w:rsidP="00B11BD3">
      <w:pPr>
        <w:numPr>
          <w:ilvl w:val="0"/>
          <w:numId w:val="4"/>
        </w:numPr>
        <w:spacing w:after="151" w:line="264" w:lineRule="auto"/>
        <w:ind w:right="141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Podobna zasada obowiązuje w przypadkach, gdy w opisie przedmiotu zamówienia zostały wprowadzone odniesienia do norm, europejskich ocen technicznych, aprobat, specyfikacji technicznych i systemów referencji technicznych. </w:t>
      </w:r>
    </w:p>
    <w:p w14:paraId="507F194A" w14:textId="77777777" w:rsidR="00B11BD3" w:rsidRDefault="00B11BD3" w:rsidP="00B11BD3">
      <w:pPr>
        <w:numPr>
          <w:ilvl w:val="0"/>
          <w:numId w:val="4"/>
        </w:numPr>
        <w:spacing w:after="151" w:line="264" w:lineRule="auto"/>
        <w:ind w:right="141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Oferowanie rozwiązań równoważnych do wskazanych w opisie przedmiotu zamówienia wymaga dodatkowo wykazania, że oferowane rozwiązanie równoważne są o parametrach techniczno– eksploatacyjno-użytkowych nie gorszych niż wymagane przez Zamawiającego. Ciężar wykazania spełnienia tych wymagań leży po stronie Wykonawcy w składanej ofercie lub jeżeli ten przypadek ma miejsce w trakcie realizacji umowy – w chwili zaistnienia konieczności dokonania takiej zmiany. </w:t>
      </w:r>
    </w:p>
    <w:p w14:paraId="36FA0EA4" w14:textId="77777777" w:rsidR="00B11BD3" w:rsidRPr="00574ED0" w:rsidRDefault="00B11BD3" w:rsidP="00B11BD3">
      <w:pPr>
        <w:numPr>
          <w:ilvl w:val="0"/>
          <w:numId w:val="4"/>
        </w:numPr>
        <w:spacing w:after="0" w:line="264" w:lineRule="auto"/>
        <w:ind w:right="141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zastosowania zasad wskazanych powyżej w trakcie realizacji umowy, mogą one wystąpić pod warunkiem, że zmiany te nie będą wpływać na oferowany w ofercie przedmiot zamówienia i efekt zakreślony niniejszą SWZ. Mogą to być także przypadki korzystne dla </w:t>
      </w:r>
      <w:r w:rsidRPr="00574ED0">
        <w:rPr>
          <w:rFonts w:ascii="Times New Roman" w:hAnsi="Times New Roman"/>
        </w:rPr>
        <w:t xml:space="preserve">Zamawiającego. Obowiązkiem strony wnoszącej o takie rozwiązanie równoważne (w trakcie realizacji zamówienia Zamawiający lub Wykonawca) wymagane jest uzasadnienie tego przypadku w formie pisemnej. Nie mogą one jednak zmienić istotnych elementów oferty czy umowy, przykładowo: wydłużenia terminu realizacji, podwyższenia wynagrodzenia, zmianę harmonogramu realizacji w stosunku do tego wymaganego zapisami SWZ.  Wprowadzenie rozwiązania równoważnego w trakcie realizacji umowy może następować także w następujących okolicznościach: </w:t>
      </w:r>
    </w:p>
    <w:p w14:paraId="32106C7E" w14:textId="77777777" w:rsidR="00B11BD3" w:rsidRDefault="00B11BD3" w:rsidP="00B11BD3">
      <w:pPr>
        <w:numPr>
          <w:ilvl w:val="0"/>
          <w:numId w:val="5"/>
        </w:numPr>
        <w:spacing w:after="151" w:line="264" w:lineRule="auto"/>
        <w:ind w:right="141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Powodują obniżenie kosztu ponoszonego przez Zamawiającego na eksploatację i konserwację wykonanego przedmiotu umowy; </w:t>
      </w:r>
    </w:p>
    <w:p w14:paraId="3B1ED91E" w14:textId="77777777" w:rsidR="00B11BD3" w:rsidRDefault="00B11BD3" w:rsidP="00B11BD3">
      <w:pPr>
        <w:numPr>
          <w:ilvl w:val="0"/>
          <w:numId w:val="5"/>
        </w:numPr>
        <w:spacing w:after="34" w:line="264" w:lineRule="auto"/>
        <w:ind w:right="14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Powodują poprawienie parametrów technicznych w stosunku do wymaganych przez Zamawiającego w SWZ; </w:t>
      </w:r>
    </w:p>
    <w:p w14:paraId="297C2858" w14:textId="77777777" w:rsidR="00B11BD3" w:rsidRDefault="00B11BD3" w:rsidP="00B11BD3">
      <w:pPr>
        <w:numPr>
          <w:ilvl w:val="0"/>
          <w:numId w:val="5"/>
        </w:numPr>
        <w:spacing w:after="181" w:line="264" w:lineRule="auto"/>
        <w:ind w:right="141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Wynikają z aktualizacji rozwiązań z uwagi na postęp technologiczny lub zmiany obowiązujących przepisów. </w:t>
      </w:r>
    </w:p>
    <w:p w14:paraId="1B2486A5" w14:textId="77777777" w:rsidR="00B11BD3" w:rsidRDefault="00B11BD3" w:rsidP="00B11BD3">
      <w:pPr>
        <w:numPr>
          <w:ilvl w:val="0"/>
          <w:numId w:val="6"/>
        </w:numPr>
        <w:spacing w:after="151" w:line="264" w:lineRule="auto"/>
        <w:ind w:right="1410" w:hanging="432"/>
        <w:rPr>
          <w:rFonts w:ascii="Times New Roman" w:hAnsi="Times New Roman"/>
        </w:rPr>
      </w:pPr>
      <w:bookmarkStart w:id="23" w:name="_Hlk104899207"/>
      <w:r>
        <w:rPr>
          <w:rFonts w:ascii="Times New Roman" w:hAnsi="Times New Roman"/>
        </w:rPr>
        <w:t xml:space="preserve">Wykonawca, który powołuje się na rozwiązania równoważne opisywane wg zasad wskazanych w pkt. 2 musi dodatkowo wykazać w ofercie/ w trakcie realizacji zamówienia, że oferowane przez niego dostawy/usługi/roboty budowlane spełniają wszystkie wymagania określone przez Zamawiającego w treści SWZ i w postępowaniu. </w:t>
      </w:r>
    </w:p>
    <w:p w14:paraId="634E3724" w14:textId="77777777" w:rsidR="00B11BD3" w:rsidRPr="008676BB" w:rsidRDefault="00B11BD3" w:rsidP="00B11BD3">
      <w:pPr>
        <w:numPr>
          <w:ilvl w:val="0"/>
          <w:numId w:val="6"/>
        </w:numPr>
        <w:spacing w:after="151" w:line="264" w:lineRule="auto"/>
        <w:ind w:right="1410" w:hanging="432"/>
        <w:rPr>
          <w:rFonts w:ascii="Times New Roman" w:hAnsi="Times New Roman"/>
        </w:rPr>
      </w:pPr>
      <w:r>
        <w:rPr>
          <w:rFonts w:ascii="Times New Roman" w:hAnsi="Times New Roman"/>
        </w:rPr>
        <w:t>Wykazanie, że oferowane przez Wykonawcę rozwiązania spełniają wymagania określone przez Zamawiającego musi nastąpić w złożonej ofercie  z podaniem szczegółowych parametrów zaproponowanych materiałów i urządzeń oraz udowodnienia okoliczności wynikających w wcześniejszych zapisów. Stosowanie powyższych rozwiązań równoważnych dotyczy także przypadków, gdzie w opisie przedmiotu zamówienia wskutek jakiegoś niedopatrzenia pojawiły się wskazania, o których mowa w niniejszym materiale.</w:t>
      </w:r>
      <w:bookmarkEnd w:id="23"/>
      <w:r>
        <w:rPr>
          <w:rFonts w:ascii="Times New Roman" w:hAnsi="Times New Roman"/>
        </w:rPr>
        <w:t xml:space="preserve"> </w:t>
      </w:r>
    </w:p>
    <w:p w14:paraId="4AA639B1" w14:textId="77777777" w:rsidR="00B11BD3" w:rsidRDefault="00B11BD3" w:rsidP="00B11BD3">
      <w:pPr>
        <w:spacing w:after="0" w:line="240" w:lineRule="auto"/>
        <w:rPr>
          <w:rFonts w:ascii="Times New Roman" w:hAnsi="Times New Roman"/>
          <w:b/>
          <w:bCs/>
          <w:u w:val="single"/>
          <w:lang w:eastAsia="zh-CN"/>
        </w:rPr>
      </w:pPr>
    </w:p>
    <w:p w14:paraId="66001E6E" w14:textId="77777777" w:rsidR="00B11BD3" w:rsidRDefault="00B11BD3" w:rsidP="00B11BD3">
      <w:pPr>
        <w:spacing w:after="0" w:line="240" w:lineRule="auto"/>
        <w:rPr>
          <w:rFonts w:ascii="Times New Roman" w:hAnsi="Times New Roman"/>
          <w:b/>
          <w:bCs/>
          <w:u w:val="single"/>
          <w:lang w:eastAsia="zh-CN"/>
        </w:rPr>
      </w:pPr>
      <w:r>
        <w:rPr>
          <w:rFonts w:ascii="Times New Roman" w:hAnsi="Times New Roman"/>
          <w:b/>
          <w:bCs/>
          <w:u w:val="single"/>
          <w:lang w:eastAsia="zh-CN"/>
        </w:rPr>
        <w:t>Przy wyborze oferty najkorzystniejszej Zamawiający zastosuje następujące kryteria oceny ofert:</w:t>
      </w:r>
    </w:p>
    <w:p w14:paraId="2D9C47B7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B11BD3" w14:paraId="6EF65FBB" w14:textId="77777777" w:rsidTr="00614D9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80495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lang w:eastAsia="zh-CN"/>
              </w:rPr>
              <w:t>Kryterium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9E73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lang w:eastAsia="zh-CN"/>
              </w:rPr>
              <w:t>Waga kryterium</w:t>
            </w:r>
          </w:p>
          <w:p w14:paraId="3B4F5ED8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lang w:eastAsia="zh-CN"/>
              </w:rPr>
              <w:t>Pkt.</w:t>
            </w:r>
          </w:p>
        </w:tc>
      </w:tr>
      <w:tr w:rsidR="00B11BD3" w14:paraId="28749EF1" w14:textId="77777777" w:rsidTr="00614D9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36BE9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I Cena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C7E5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60</w:t>
            </w:r>
          </w:p>
        </w:tc>
      </w:tr>
      <w:tr w:rsidR="00B11BD3" w14:paraId="3C4B425C" w14:textId="77777777" w:rsidTr="00614D9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25C0B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II Okres udzielonej gwarancji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D953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30</w:t>
            </w:r>
          </w:p>
        </w:tc>
      </w:tr>
      <w:tr w:rsidR="00B11BD3" w14:paraId="2A2F9029" w14:textId="77777777" w:rsidTr="00614D9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D8AFB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III Termin dostawy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8492" w14:textId="77777777" w:rsidR="00B11BD3" w:rsidRDefault="00B11BD3" w:rsidP="00614D90">
            <w:pPr>
              <w:widowControl w:val="0"/>
              <w:spacing w:after="0" w:line="240" w:lineRule="auto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10</w:t>
            </w:r>
          </w:p>
        </w:tc>
      </w:tr>
    </w:tbl>
    <w:p w14:paraId="7DBA346E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</w:p>
    <w:p w14:paraId="6B7A615C" w14:textId="77777777" w:rsidR="00B11BD3" w:rsidRDefault="00B11BD3" w:rsidP="00B11BD3">
      <w:pPr>
        <w:spacing w:after="0" w:line="240" w:lineRule="auto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</w:t>
      </w:r>
      <w:r>
        <w:rPr>
          <w:rFonts w:ascii="Times New Roman" w:hAnsi="Times New Roman"/>
          <w:b/>
          <w:u w:val="single"/>
          <w:lang w:eastAsia="zh-CN"/>
        </w:rPr>
        <w:t>Punkty za I kryterium „cena” zostaną obliczone według wzoru</w:t>
      </w:r>
      <w:r>
        <w:rPr>
          <w:rFonts w:ascii="Times New Roman" w:hAnsi="Times New Roman"/>
          <w:b/>
          <w:lang w:eastAsia="zh-CN"/>
        </w:rPr>
        <w:t>:</w:t>
      </w:r>
    </w:p>
    <w:p w14:paraId="50F5FAEF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</w:p>
    <w:p w14:paraId="07A88E0D" w14:textId="77777777" w:rsidR="00B11BD3" w:rsidRDefault="00B11BD3" w:rsidP="00B11BD3">
      <w:pPr>
        <w:spacing w:after="0" w:line="240" w:lineRule="auto"/>
        <w:rPr>
          <w:rFonts w:ascii="Times New Roman" w:hAnsi="Times New Roman"/>
          <w:strike/>
          <w:lang w:eastAsia="zh-CN"/>
        </w:rPr>
      </w:pPr>
      <w:r>
        <w:rPr>
          <w:rFonts w:ascii="Times New Roman" w:hAnsi="Times New Roman"/>
          <w:lang w:eastAsia="zh-CN"/>
        </w:rPr>
        <w:t>cena oferty najtańszej</w:t>
      </w:r>
    </w:p>
    <w:p w14:paraId="685E396D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strike/>
          <w:lang w:eastAsia="zh-CN"/>
        </w:rPr>
        <w:lastRenderedPageBreak/>
        <w:tab/>
      </w:r>
      <w:r>
        <w:rPr>
          <w:rFonts w:ascii="Times New Roman" w:hAnsi="Times New Roman"/>
          <w:strike/>
          <w:lang w:eastAsia="zh-CN"/>
        </w:rPr>
        <w:tab/>
      </w:r>
      <w:r>
        <w:rPr>
          <w:rFonts w:ascii="Times New Roman" w:hAnsi="Times New Roman"/>
          <w:strike/>
          <w:lang w:eastAsia="zh-CN"/>
        </w:rPr>
        <w:tab/>
      </w:r>
      <w:r>
        <w:rPr>
          <w:rFonts w:ascii="Times New Roman" w:hAnsi="Times New Roman"/>
          <w:lang w:eastAsia="zh-CN"/>
        </w:rPr>
        <w:t xml:space="preserve"> X 100 X 60 = liczba punktów</w:t>
      </w:r>
    </w:p>
    <w:p w14:paraId="01CDE6FD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cena oferty badanej</w:t>
      </w:r>
    </w:p>
    <w:p w14:paraId="532329F6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</w:p>
    <w:p w14:paraId="070DA91A" w14:textId="77777777" w:rsidR="00B11BD3" w:rsidRPr="00B06EFF" w:rsidRDefault="00B11BD3" w:rsidP="00B11BD3">
      <w:pPr>
        <w:autoSpaceDE w:val="0"/>
        <w:spacing w:after="0" w:line="240" w:lineRule="auto"/>
        <w:rPr>
          <w:rFonts w:ascii="Times New Roman" w:eastAsia="Calibri" w:hAnsi="Times New Roman"/>
          <w:b/>
          <w:u w:val="single"/>
          <w:lang w:eastAsia="zh-CN"/>
        </w:rPr>
      </w:pPr>
      <w:r w:rsidRPr="00B06EFF">
        <w:rPr>
          <w:rFonts w:ascii="Times New Roman" w:eastAsia="Calibri" w:hAnsi="Times New Roman"/>
          <w:b/>
          <w:u w:val="single"/>
          <w:lang w:eastAsia="zh-CN"/>
        </w:rPr>
        <w:t>Punkty za II  kryterium „</w:t>
      </w:r>
      <w:r>
        <w:rPr>
          <w:rFonts w:ascii="Times New Roman" w:eastAsia="Calibri" w:hAnsi="Times New Roman"/>
          <w:b/>
          <w:u w:val="single"/>
          <w:lang w:eastAsia="zh-CN"/>
        </w:rPr>
        <w:t>Okres udzielenia</w:t>
      </w:r>
      <w:r w:rsidRPr="00B06EFF">
        <w:rPr>
          <w:rFonts w:ascii="Times New Roman" w:eastAsia="Calibri" w:hAnsi="Times New Roman"/>
          <w:b/>
          <w:u w:val="single"/>
          <w:lang w:eastAsia="zh-CN"/>
        </w:rPr>
        <w:t xml:space="preserve"> gwarancji  ” zostaną obliczone według wzoru:</w:t>
      </w:r>
    </w:p>
    <w:p w14:paraId="321CEFB0" w14:textId="77777777" w:rsidR="00B11BD3" w:rsidRPr="00B06EFF" w:rsidRDefault="00B11BD3" w:rsidP="00B11BD3">
      <w:pPr>
        <w:autoSpaceDE w:val="0"/>
        <w:spacing w:after="0" w:line="240" w:lineRule="auto"/>
        <w:rPr>
          <w:rFonts w:ascii="Times New Roman" w:eastAsia="Calibri" w:hAnsi="Times New Roman"/>
          <w:u w:val="single"/>
          <w:lang w:eastAsia="zh-CN"/>
        </w:rPr>
      </w:pPr>
    </w:p>
    <w:p w14:paraId="1B23F0FB" w14:textId="77777777" w:rsidR="00B11BD3" w:rsidRPr="00B06EFF" w:rsidRDefault="00B11BD3" w:rsidP="00B11BD3">
      <w:pPr>
        <w:suppressAutoHyphens w:val="0"/>
        <w:autoSpaceDE w:val="0"/>
        <w:rPr>
          <w:rFonts w:ascii="Times New Roman" w:hAnsi="Times New Roman"/>
          <w:strike/>
        </w:rPr>
      </w:pPr>
      <w:r w:rsidRPr="00B06EFF">
        <w:rPr>
          <w:rFonts w:ascii="Times New Roman" w:hAnsi="Times New Roman"/>
        </w:rPr>
        <w:t>Okres (w miesiącach) gwarancji  oferty badanej</w:t>
      </w:r>
    </w:p>
    <w:p w14:paraId="4CE08FF2" w14:textId="77777777" w:rsidR="00B11BD3" w:rsidRPr="00B06EFF" w:rsidRDefault="00B11BD3" w:rsidP="00B11BD3">
      <w:pPr>
        <w:suppressAutoHyphens w:val="0"/>
        <w:autoSpaceDE w:val="0"/>
        <w:rPr>
          <w:rFonts w:ascii="Times New Roman" w:hAnsi="Times New Roman"/>
        </w:rPr>
      </w:pPr>
      <w:r w:rsidRPr="00B06EFF">
        <w:rPr>
          <w:rFonts w:ascii="Times New Roman" w:hAnsi="Times New Roman"/>
          <w:strike/>
        </w:rPr>
        <w:tab/>
      </w:r>
      <w:r w:rsidRPr="00B06EFF">
        <w:rPr>
          <w:rFonts w:ascii="Times New Roman" w:hAnsi="Times New Roman"/>
          <w:strike/>
        </w:rPr>
        <w:tab/>
      </w:r>
      <w:r w:rsidRPr="00B06EFF">
        <w:rPr>
          <w:rFonts w:ascii="Times New Roman" w:hAnsi="Times New Roman"/>
          <w:strike/>
        </w:rPr>
        <w:tab/>
        <w:t>-------------------------------------------------------</w:t>
      </w:r>
      <w:r w:rsidRPr="00B06EFF">
        <w:rPr>
          <w:rFonts w:ascii="Times New Roman" w:hAnsi="Times New Roman"/>
        </w:rPr>
        <w:t xml:space="preserve"> X 100 x 30 = liczba punktów</w:t>
      </w:r>
    </w:p>
    <w:p w14:paraId="5DFF0AAF" w14:textId="77777777" w:rsidR="00B11BD3" w:rsidRPr="00B06EFF" w:rsidRDefault="00B11BD3" w:rsidP="00B11BD3">
      <w:pPr>
        <w:suppressAutoHyphens w:val="0"/>
        <w:autoSpaceDE w:val="0"/>
        <w:rPr>
          <w:rFonts w:ascii="Times New Roman" w:hAnsi="Times New Roman"/>
        </w:rPr>
      </w:pPr>
      <w:r w:rsidRPr="00B06EFF">
        <w:rPr>
          <w:rFonts w:ascii="Times New Roman" w:hAnsi="Times New Roman"/>
        </w:rPr>
        <w:t xml:space="preserve">Najdłuższy proponowany okres (w miesiącach) gwarancji </w:t>
      </w:r>
    </w:p>
    <w:p w14:paraId="1C49B843" w14:textId="77777777" w:rsidR="00B11BD3" w:rsidRPr="00B06EFF" w:rsidRDefault="00B11BD3" w:rsidP="00B11BD3">
      <w:pPr>
        <w:suppressAutoHyphens w:val="0"/>
        <w:autoSpaceDE w:val="0"/>
        <w:rPr>
          <w:rFonts w:ascii="Times New Roman" w:hAnsi="Times New Roman"/>
        </w:rPr>
      </w:pPr>
      <w:r w:rsidRPr="00B06EFF">
        <w:rPr>
          <w:rFonts w:ascii="Times New Roman" w:hAnsi="Times New Roman"/>
        </w:rPr>
        <w:t xml:space="preserve"> spośród złożonych ważnych  ofert</w:t>
      </w:r>
    </w:p>
    <w:p w14:paraId="532EB044" w14:textId="77777777" w:rsidR="00B11BD3" w:rsidRPr="00B06EFF" w:rsidRDefault="00B11BD3" w:rsidP="00B11BD3">
      <w:pPr>
        <w:suppressAutoHyphens w:val="0"/>
        <w:autoSpaceDE w:val="0"/>
        <w:rPr>
          <w:rFonts w:ascii="Times New Roman" w:hAnsi="Times New Roman"/>
        </w:rPr>
      </w:pPr>
    </w:p>
    <w:p w14:paraId="412CF6F2" w14:textId="77777777" w:rsidR="00B11BD3" w:rsidRPr="00B06EFF" w:rsidRDefault="00B11BD3" w:rsidP="00B11BD3">
      <w:pPr>
        <w:suppressAutoHyphens w:val="0"/>
        <w:rPr>
          <w:rFonts w:ascii="Times New Roman" w:hAnsi="Times New Roman"/>
          <w:u w:val="single"/>
        </w:rPr>
      </w:pPr>
      <w:r w:rsidRPr="00B06EFF">
        <w:rPr>
          <w:rFonts w:ascii="Times New Roman" w:hAnsi="Times New Roman"/>
        </w:rPr>
        <w:t xml:space="preserve">1)Wymagany minimalny okres udzielenia  gwarancji i rękojmi to </w:t>
      </w:r>
      <w:r w:rsidRPr="00B06EFF">
        <w:rPr>
          <w:rFonts w:ascii="Times New Roman" w:hAnsi="Times New Roman"/>
          <w:b/>
          <w:u w:val="single"/>
        </w:rPr>
        <w:t>24 miesiące.</w:t>
      </w:r>
    </w:p>
    <w:p w14:paraId="750A7E5F" w14:textId="77777777" w:rsidR="00B11BD3" w:rsidRPr="00B06EFF" w:rsidRDefault="00B11BD3" w:rsidP="00B11BD3">
      <w:pPr>
        <w:suppressAutoHyphens w:val="0"/>
        <w:rPr>
          <w:rFonts w:ascii="Times New Roman" w:hAnsi="Times New Roman"/>
        </w:rPr>
      </w:pPr>
      <w:r w:rsidRPr="00B06EFF">
        <w:rPr>
          <w:rFonts w:ascii="Times New Roman" w:hAnsi="Times New Roman"/>
          <w:b/>
        </w:rPr>
        <w:t>2)</w:t>
      </w:r>
      <w:r w:rsidRPr="00B06EFF">
        <w:rPr>
          <w:rFonts w:ascii="Times New Roman" w:hAnsi="Times New Roman"/>
        </w:rPr>
        <w:t xml:space="preserve"> W przypadku braku wpisania w formularzu ofertowym (</w:t>
      </w:r>
      <w:r w:rsidRPr="00B06EFF">
        <w:rPr>
          <w:rFonts w:ascii="Times New Roman" w:hAnsi="Times New Roman"/>
          <w:b/>
        </w:rPr>
        <w:t>załącznik nr 1 do SWZ</w:t>
      </w:r>
      <w:r w:rsidRPr="00B06EFF">
        <w:rPr>
          <w:rFonts w:ascii="Times New Roman" w:hAnsi="Times New Roman"/>
        </w:rPr>
        <w:t xml:space="preserve">) lub zaoferowania w ofercie krótszego okresu udzielenia gwarancji i rękojmi od  wymaganego,  oferta zostanie odrzucona jako niezgodna z SWZ na podstawie </w:t>
      </w:r>
      <w:r w:rsidRPr="007E58B2">
        <w:rPr>
          <w:rFonts w:ascii="Times New Roman" w:hAnsi="Times New Roman"/>
        </w:rPr>
        <w:t xml:space="preserve"> art. </w:t>
      </w:r>
      <w:r>
        <w:rPr>
          <w:rFonts w:ascii="Times New Roman" w:hAnsi="Times New Roman"/>
        </w:rPr>
        <w:t>226</w:t>
      </w:r>
      <w:r w:rsidRPr="007E58B2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5</w:t>
      </w:r>
      <w:r w:rsidRPr="007E58B2">
        <w:rPr>
          <w:rFonts w:ascii="Times New Roman" w:hAnsi="Times New Roman"/>
        </w:rPr>
        <w:t xml:space="preserve">  ustawy Pzp</w:t>
      </w:r>
      <w:r w:rsidRPr="00B06EFF">
        <w:rPr>
          <w:rFonts w:ascii="Times New Roman" w:hAnsi="Times New Roman"/>
        </w:rPr>
        <w:t>.</w:t>
      </w:r>
    </w:p>
    <w:p w14:paraId="2E9F0843" w14:textId="77777777" w:rsidR="00B11BD3" w:rsidRPr="00B06EFF" w:rsidRDefault="00B11BD3" w:rsidP="00B11BD3">
      <w:pPr>
        <w:suppressAutoHyphens w:val="0"/>
        <w:rPr>
          <w:rFonts w:ascii="Times New Roman" w:hAnsi="Times New Roman"/>
          <w:b/>
        </w:rPr>
      </w:pPr>
      <w:r w:rsidRPr="00B06EFF">
        <w:rPr>
          <w:rFonts w:ascii="Times New Roman" w:hAnsi="Times New Roman"/>
        </w:rPr>
        <w:t xml:space="preserve">3) Maksymalna liczba punktów możliwa do uzyskania w </w:t>
      </w:r>
      <w:r w:rsidRPr="00B06EFF">
        <w:rPr>
          <w:rFonts w:ascii="Times New Roman" w:hAnsi="Times New Roman"/>
          <w:b/>
        </w:rPr>
        <w:t>kryterium „</w:t>
      </w:r>
      <w:r>
        <w:rPr>
          <w:rFonts w:ascii="Times New Roman" w:hAnsi="Times New Roman"/>
          <w:b/>
          <w:u w:val="single"/>
        </w:rPr>
        <w:t>Okres</w:t>
      </w:r>
      <w:r w:rsidRPr="00B06EFF">
        <w:rPr>
          <w:rFonts w:ascii="Times New Roman" w:hAnsi="Times New Roman"/>
          <w:b/>
          <w:u w:val="single"/>
        </w:rPr>
        <w:t xml:space="preserve"> udzielenia gwarancji </w:t>
      </w:r>
      <w:r w:rsidRPr="00B06EFF">
        <w:rPr>
          <w:rFonts w:ascii="Times New Roman" w:hAnsi="Times New Roman"/>
          <w:b/>
        </w:rPr>
        <w:t>”  wynosi  30 pkt. (po uwzględnieniu wagi kryterium)</w:t>
      </w:r>
    </w:p>
    <w:p w14:paraId="260CAEA9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</w:p>
    <w:p w14:paraId="4F954556" w14:textId="77777777" w:rsidR="00B11BD3" w:rsidRDefault="00B11BD3" w:rsidP="00B11BD3">
      <w:pPr>
        <w:spacing w:after="0" w:line="240" w:lineRule="auto"/>
        <w:rPr>
          <w:rFonts w:ascii="Times New Roman" w:hAnsi="Times New Roman"/>
          <w:u w:val="single"/>
          <w:lang w:eastAsia="zh-CN"/>
        </w:rPr>
      </w:pPr>
    </w:p>
    <w:p w14:paraId="2C91DA12" w14:textId="77777777" w:rsidR="00B11BD3" w:rsidRPr="007E58B2" w:rsidRDefault="00B11BD3" w:rsidP="00B11BD3">
      <w:pPr>
        <w:suppressAutoHyphens w:val="0"/>
        <w:rPr>
          <w:rFonts w:ascii="Times New Roman" w:hAnsi="Times New Roman"/>
          <w:b/>
        </w:rPr>
      </w:pPr>
      <w:r w:rsidRPr="007E58B2">
        <w:rPr>
          <w:rFonts w:ascii="Times New Roman" w:hAnsi="Times New Roman"/>
          <w:b/>
        </w:rPr>
        <w:t>Punkty za III  kryterium ,,</w:t>
      </w:r>
      <w:r w:rsidRPr="007E58B2">
        <w:rPr>
          <w:rFonts w:ascii="Times New Roman" w:hAnsi="Times New Roman"/>
        </w:rPr>
        <w:t xml:space="preserve"> </w:t>
      </w:r>
      <w:r w:rsidRPr="007E58B2">
        <w:rPr>
          <w:rFonts w:ascii="Times New Roman" w:hAnsi="Times New Roman"/>
          <w:b/>
          <w:u w:val="single"/>
        </w:rPr>
        <w:t>Termin wykonania zamówienia</w:t>
      </w:r>
      <w:r w:rsidRPr="007E58B2">
        <w:rPr>
          <w:rFonts w:ascii="Times New Roman" w:hAnsi="Times New Roman"/>
          <w:b/>
        </w:rPr>
        <w:t>” zostaną obliczone według następujących zasad:</w:t>
      </w:r>
    </w:p>
    <w:p w14:paraId="7267B89B" w14:textId="77777777" w:rsidR="00B11BD3" w:rsidRPr="007E58B2" w:rsidRDefault="00B11BD3" w:rsidP="00B11BD3">
      <w:pPr>
        <w:suppressAutoHyphens w:val="0"/>
        <w:autoSpaceDE w:val="0"/>
        <w:rPr>
          <w:rFonts w:ascii="Times New Roman" w:hAnsi="Times New Roman"/>
          <w:strike/>
        </w:rPr>
      </w:pPr>
      <w:r w:rsidRPr="007E58B2">
        <w:rPr>
          <w:rFonts w:ascii="Times New Roman" w:hAnsi="Times New Roman"/>
        </w:rPr>
        <w:t>Najkrótszy proponowany termin wykonania zamówienia ( w dniach)</w:t>
      </w:r>
    </w:p>
    <w:p w14:paraId="10220ADF" w14:textId="77777777" w:rsidR="00B11BD3" w:rsidRPr="007E58B2" w:rsidRDefault="00B11BD3" w:rsidP="00B11BD3">
      <w:pPr>
        <w:suppressAutoHyphens w:val="0"/>
        <w:autoSpaceDE w:val="0"/>
        <w:rPr>
          <w:rFonts w:ascii="Times New Roman" w:hAnsi="Times New Roman"/>
        </w:rPr>
      </w:pPr>
      <w:r w:rsidRPr="007E58B2">
        <w:rPr>
          <w:rFonts w:ascii="Times New Roman" w:hAnsi="Times New Roman"/>
          <w:strike/>
        </w:rPr>
        <w:tab/>
      </w:r>
      <w:r w:rsidRPr="007E58B2">
        <w:rPr>
          <w:rFonts w:ascii="Times New Roman" w:hAnsi="Times New Roman"/>
          <w:strike/>
        </w:rPr>
        <w:tab/>
      </w:r>
      <w:r w:rsidRPr="007E58B2">
        <w:rPr>
          <w:rFonts w:ascii="Times New Roman" w:hAnsi="Times New Roman"/>
          <w:strike/>
        </w:rPr>
        <w:tab/>
        <w:t>-------------------------------------------------------</w:t>
      </w:r>
      <w:r w:rsidRPr="007E58B2">
        <w:rPr>
          <w:rFonts w:ascii="Times New Roman" w:hAnsi="Times New Roman"/>
        </w:rPr>
        <w:t xml:space="preserve"> X </w:t>
      </w:r>
      <w:r>
        <w:rPr>
          <w:rFonts w:ascii="Times New Roman" w:hAnsi="Times New Roman"/>
        </w:rPr>
        <w:t>100 x</w:t>
      </w:r>
      <w:r w:rsidRPr="007E58B2">
        <w:rPr>
          <w:rFonts w:ascii="Times New Roman" w:hAnsi="Times New Roman"/>
        </w:rPr>
        <w:t xml:space="preserve"> 10 = liczba punktów</w:t>
      </w:r>
    </w:p>
    <w:p w14:paraId="0507CA88" w14:textId="77777777" w:rsidR="00B11BD3" w:rsidRPr="007E58B2" w:rsidRDefault="00B11BD3" w:rsidP="00B11BD3">
      <w:pPr>
        <w:suppressAutoHyphens w:val="0"/>
        <w:rPr>
          <w:rFonts w:ascii="Times New Roman" w:hAnsi="Times New Roman"/>
          <w:b/>
          <w:u w:val="single"/>
        </w:rPr>
      </w:pPr>
      <w:r w:rsidRPr="007E58B2">
        <w:rPr>
          <w:rFonts w:ascii="Times New Roman" w:hAnsi="Times New Roman"/>
        </w:rPr>
        <w:t>Termin wykonania zamówienia oferty badanej ( w dniach)</w:t>
      </w:r>
    </w:p>
    <w:p w14:paraId="16F17BC1" w14:textId="77777777" w:rsidR="00B11BD3" w:rsidRPr="00D80477" w:rsidRDefault="00B11BD3" w:rsidP="00B11BD3">
      <w:pPr>
        <w:numPr>
          <w:ilvl w:val="0"/>
          <w:numId w:val="8"/>
        </w:numPr>
        <w:suppressAutoHyphens w:val="0"/>
        <w:contextualSpacing/>
        <w:rPr>
          <w:rFonts w:ascii="Times New Roman" w:hAnsi="Times New Roman"/>
          <w:b/>
          <w:bCs/>
        </w:rPr>
      </w:pPr>
      <w:r w:rsidRPr="00D80477">
        <w:rPr>
          <w:rFonts w:ascii="Times New Roman" w:hAnsi="Times New Roman"/>
          <w:b/>
          <w:bCs/>
        </w:rPr>
        <w:t>Nieprzekraczalny termin wykonania zamówienia – max do 15.12.2023r .</w:t>
      </w:r>
    </w:p>
    <w:p w14:paraId="4925655E" w14:textId="77777777" w:rsidR="00B11BD3" w:rsidRPr="007E58B2" w:rsidRDefault="00B11BD3" w:rsidP="00B11BD3">
      <w:pPr>
        <w:numPr>
          <w:ilvl w:val="0"/>
          <w:numId w:val="8"/>
        </w:numPr>
        <w:suppressAutoHyphens w:val="0"/>
        <w:contextualSpacing/>
        <w:rPr>
          <w:rFonts w:ascii="Times New Roman" w:hAnsi="Times New Roman"/>
          <w:b/>
          <w:color w:val="FF0000"/>
          <w:u w:val="single"/>
        </w:rPr>
      </w:pPr>
      <w:r w:rsidRPr="007E58B2">
        <w:rPr>
          <w:rFonts w:ascii="Times New Roman" w:hAnsi="Times New Roman"/>
        </w:rPr>
        <w:t>W przypadku braku wpisania w formularzu ofertowym (</w:t>
      </w:r>
      <w:r w:rsidRPr="007E58B2">
        <w:rPr>
          <w:rFonts w:ascii="Times New Roman" w:hAnsi="Times New Roman"/>
          <w:b/>
        </w:rPr>
        <w:t>załącznik nr 1 do SWZ)</w:t>
      </w:r>
      <w:r w:rsidRPr="007E58B2">
        <w:rPr>
          <w:rFonts w:ascii="Times New Roman" w:hAnsi="Times New Roman"/>
        </w:rPr>
        <w:t xml:space="preserve">  lub zaoferowania  dłuższego terminu  wykonania zamówienia  od  wymaganego,  </w:t>
      </w:r>
      <w:bookmarkStart w:id="24" w:name="_Hlk79151999"/>
      <w:r w:rsidRPr="007E58B2">
        <w:rPr>
          <w:rFonts w:ascii="Times New Roman" w:hAnsi="Times New Roman"/>
        </w:rPr>
        <w:t xml:space="preserve">oferta zostanie odrzucona jako niezgodna z SWZ na podstawie art. </w:t>
      </w:r>
      <w:r>
        <w:rPr>
          <w:rFonts w:ascii="Times New Roman" w:hAnsi="Times New Roman"/>
        </w:rPr>
        <w:t>226</w:t>
      </w:r>
      <w:r w:rsidRPr="007E58B2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5</w:t>
      </w:r>
      <w:r w:rsidRPr="007E58B2">
        <w:rPr>
          <w:rFonts w:ascii="Times New Roman" w:hAnsi="Times New Roman"/>
        </w:rPr>
        <w:t xml:space="preserve">  ustawy Pzp</w:t>
      </w:r>
      <w:r w:rsidRPr="007E58B2">
        <w:rPr>
          <w:rFonts w:ascii="Times New Roman" w:hAnsi="Times New Roman"/>
          <w:color w:val="FF0000"/>
        </w:rPr>
        <w:t>.</w:t>
      </w:r>
      <w:bookmarkEnd w:id="24"/>
    </w:p>
    <w:p w14:paraId="3AAEA137" w14:textId="77777777" w:rsidR="00B11BD3" w:rsidRPr="007E58B2" w:rsidRDefault="00B11BD3" w:rsidP="00B11BD3">
      <w:pPr>
        <w:numPr>
          <w:ilvl w:val="0"/>
          <w:numId w:val="8"/>
        </w:numPr>
        <w:suppressAutoHyphens w:val="0"/>
        <w:contextualSpacing/>
        <w:rPr>
          <w:rFonts w:ascii="Times New Roman" w:hAnsi="Times New Roman"/>
          <w:b/>
          <w:color w:val="FF0000"/>
          <w:u w:val="single"/>
        </w:rPr>
      </w:pPr>
      <w:r w:rsidRPr="007E58B2">
        <w:rPr>
          <w:rFonts w:ascii="Times New Roman" w:hAnsi="Times New Roman"/>
        </w:rPr>
        <w:t xml:space="preserve"> Maksymalna liczba punktów możliwa do uzyskania w </w:t>
      </w:r>
      <w:r w:rsidRPr="007E58B2">
        <w:rPr>
          <w:rFonts w:ascii="Times New Roman" w:hAnsi="Times New Roman"/>
          <w:b/>
        </w:rPr>
        <w:t>kryterium „</w:t>
      </w:r>
      <w:r w:rsidRPr="007E58B2">
        <w:rPr>
          <w:rFonts w:ascii="Times New Roman" w:hAnsi="Times New Roman"/>
          <w:b/>
          <w:u w:val="single"/>
        </w:rPr>
        <w:t>Termin realizacji zamówienia</w:t>
      </w:r>
      <w:r w:rsidRPr="007E58B2">
        <w:rPr>
          <w:rFonts w:ascii="Times New Roman" w:hAnsi="Times New Roman"/>
          <w:b/>
        </w:rPr>
        <w:t>”  wynosi  10 pkt. (po uwzględnieniu wagi kryterium)</w:t>
      </w:r>
    </w:p>
    <w:p w14:paraId="586B7B31" w14:textId="77777777" w:rsidR="00B11BD3" w:rsidRDefault="00B11BD3" w:rsidP="00B11BD3">
      <w:pPr>
        <w:spacing w:line="259" w:lineRule="auto"/>
        <w:rPr>
          <w:rFonts w:ascii="Times New Roman" w:hAnsi="Times New Roman"/>
        </w:rPr>
      </w:pPr>
    </w:p>
    <w:p w14:paraId="2E61FA31" w14:textId="77777777" w:rsidR="00B11BD3" w:rsidRDefault="00B11BD3" w:rsidP="00B11BD3">
      <w:pPr>
        <w:spacing w:after="0" w:line="240" w:lineRule="auto"/>
        <w:rPr>
          <w:rFonts w:ascii="Times New Roman" w:hAnsi="Times New Roman"/>
          <w:lang w:eastAsia="zh-CN"/>
        </w:rPr>
      </w:pPr>
    </w:p>
    <w:p w14:paraId="7FC7F925" w14:textId="77777777" w:rsidR="00B11BD3" w:rsidRDefault="00B11BD3" w:rsidP="00B11BD3">
      <w:pPr>
        <w:spacing w:after="0" w:line="240" w:lineRule="auto"/>
        <w:textAlignment w:val="baseline"/>
        <w:rPr>
          <w:rFonts w:ascii="Times New Roman" w:eastAsia="Times New Roman" w:hAnsi="Times New Roman"/>
          <w:kern w:val="2"/>
          <w:lang w:eastAsia="zh-CN"/>
        </w:rPr>
      </w:pPr>
      <w:r>
        <w:rPr>
          <w:rFonts w:ascii="Times New Roman" w:hAnsi="Times New Roman"/>
          <w:b/>
          <w:kern w:val="2"/>
          <w:lang w:eastAsia="zh-CN"/>
        </w:rPr>
        <w:t>Łączna ilość punktów / za kryterium I    II  i III / stanowić będzie wartość ogólną ocenianej oferty</w:t>
      </w:r>
      <w:r>
        <w:rPr>
          <w:rFonts w:ascii="Times New Roman" w:hAnsi="Times New Roman"/>
          <w:kern w:val="2"/>
          <w:lang w:eastAsia="zh-CN"/>
        </w:rPr>
        <w:t>.</w:t>
      </w:r>
    </w:p>
    <w:p w14:paraId="35AE0E5B" w14:textId="77777777" w:rsidR="00B11BD3" w:rsidRDefault="00B11BD3" w:rsidP="00B11BD3">
      <w:pPr>
        <w:rPr>
          <w:rFonts w:ascii="Times New Roman" w:hAnsi="Times New Roman"/>
        </w:rPr>
      </w:pPr>
    </w:p>
    <w:p w14:paraId="71699418" w14:textId="77777777" w:rsidR="00B11BD3" w:rsidRDefault="00B11BD3" w:rsidP="00B11BD3">
      <w:pPr>
        <w:rPr>
          <w:rFonts w:ascii="Times New Roman" w:hAnsi="Times New Roman"/>
        </w:rPr>
      </w:pPr>
      <w:r w:rsidRPr="00FF1BD7">
        <w:rPr>
          <w:rFonts w:ascii="Times New Roman" w:hAnsi="Times New Roman"/>
        </w:rPr>
        <w:t>Kolbuszowa 09.11.2023r.</w:t>
      </w:r>
      <w:r>
        <w:rPr>
          <w:rFonts w:ascii="Times New Roman" w:hAnsi="Times New Roman"/>
        </w:rPr>
        <w:t xml:space="preserve">                                           Dyrektor SP ZOZ Kolbuszowa</w:t>
      </w:r>
    </w:p>
    <w:p w14:paraId="7A635127" w14:textId="77777777" w:rsidR="00B11BD3" w:rsidRDefault="00B11BD3" w:rsidP="00B11B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Zbigniew Strzelczyk</w:t>
      </w:r>
    </w:p>
    <w:p w14:paraId="4F2D4FDC" w14:textId="77777777" w:rsidR="00B11BD3" w:rsidRDefault="00B11BD3" w:rsidP="00B11BD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……………………………………………..</w:t>
      </w:r>
    </w:p>
    <w:p w14:paraId="185D8D28" w14:textId="77777777" w:rsidR="00B11BD3" w:rsidRDefault="00B11BD3" w:rsidP="00B11BD3">
      <w:pPr>
        <w:rPr>
          <w:rFonts w:ascii="Times New Roman" w:hAnsi="Times New Roman"/>
        </w:rPr>
      </w:pPr>
      <w:bookmarkStart w:id="25" w:name="_Hlk51926208"/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/ podpis osoby uprawnionej /</w:t>
      </w:r>
      <w:bookmarkEnd w:id="0"/>
      <w:bookmarkEnd w:id="25"/>
    </w:p>
    <w:p w14:paraId="14978CF1" w14:textId="77777777" w:rsidR="00BC20D3" w:rsidRDefault="00BC20D3"/>
    <w:sectPr w:rsidR="00BC20D3" w:rsidSect="00B11BD3">
      <w:footerReference w:type="default" r:id="rId8"/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51317" w14:textId="77777777" w:rsidR="00CB364B" w:rsidRDefault="00CB364B">
      <w:pPr>
        <w:spacing w:after="0" w:line="240" w:lineRule="auto"/>
      </w:pPr>
      <w:r>
        <w:separator/>
      </w:r>
    </w:p>
  </w:endnote>
  <w:endnote w:type="continuationSeparator" w:id="0">
    <w:p w14:paraId="30EE525F" w14:textId="77777777" w:rsidR="00CB364B" w:rsidRDefault="00CB3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6039" w14:textId="1BD57E70" w:rsidR="00156DEA" w:rsidRDefault="00B11BD3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57FCF007" wp14:editId="335D42B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8670" cy="323215"/>
              <wp:effectExtent l="0" t="0" r="0" b="0"/>
              <wp:wrapSquare wrapText="bothSides"/>
              <wp:docPr id="1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8670" cy="32321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D9114BC" w14:textId="77777777" w:rsidR="00156DEA" w:rsidRDefault="0000000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FCF007" id="Ramka1" o:spid="_x0000_s1026" style="position:absolute;margin-left:10.9pt;margin-top:.05pt;width:62.1pt;height:25.45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" o:allowincell="f" filled="f" stroked="f" strokeweight="0">
              <v:textbox style="mso-fit-shape-to-text:t" inset="0,0,0,0">
                <w:txbxContent>
                  <w:p w14:paraId="1D9114BC" w14:textId="77777777" w:rsidR="00156DEA" w:rsidRDefault="00000000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0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EDB5E" w14:textId="77777777" w:rsidR="00CB364B" w:rsidRDefault="00CB364B">
      <w:pPr>
        <w:spacing w:after="0" w:line="240" w:lineRule="auto"/>
      </w:pPr>
      <w:r>
        <w:separator/>
      </w:r>
    </w:p>
  </w:footnote>
  <w:footnote w:type="continuationSeparator" w:id="0">
    <w:p w14:paraId="39EE1BE9" w14:textId="77777777" w:rsidR="00CB364B" w:rsidRDefault="00CB3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5C81"/>
    <w:multiLevelType w:val="hybridMultilevel"/>
    <w:tmpl w:val="172E7DAC"/>
    <w:lvl w:ilvl="0" w:tplc="F8EAC6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F0D08"/>
    <w:multiLevelType w:val="multilevel"/>
    <w:tmpl w:val="3B14EB12"/>
    <w:lvl w:ilvl="0">
      <w:start w:val="1"/>
      <w:numFmt w:val="lowerLetter"/>
      <w:lvlText w:val="%1)"/>
      <w:lvlJc w:val="left"/>
      <w:pPr>
        <w:tabs>
          <w:tab w:val="num" w:pos="0"/>
        </w:tabs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387C2ED5"/>
    <w:multiLevelType w:val="hybridMultilevel"/>
    <w:tmpl w:val="06A09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053C0"/>
    <w:multiLevelType w:val="multilevel"/>
    <w:tmpl w:val="4372B6FC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C023EF1"/>
    <w:multiLevelType w:val="hybridMultilevel"/>
    <w:tmpl w:val="DA629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CF02B9"/>
    <w:multiLevelType w:val="multilevel"/>
    <w:tmpl w:val="2DBE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56430CEE"/>
    <w:multiLevelType w:val="hybridMultilevel"/>
    <w:tmpl w:val="D9204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A4A7B"/>
    <w:multiLevelType w:val="hybridMultilevel"/>
    <w:tmpl w:val="8CAAD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92026"/>
    <w:multiLevelType w:val="multilevel"/>
    <w:tmpl w:val="FA4CE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674B8A"/>
    <w:multiLevelType w:val="multilevel"/>
    <w:tmpl w:val="527CB136"/>
    <w:lvl w:ilvl="0">
      <w:start w:val="2"/>
      <w:numFmt w:val="decimal"/>
      <w:lvlText w:val="%1)"/>
      <w:lvlJc w:val="left"/>
      <w:pPr>
        <w:tabs>
          <w:tab w:val="num" w:pos="0"/>
        </w:tabs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6F3C0FD9"/>
    <w:multiLevelType w:val="multilevel"/>
    <w:tmpl w:val="6BB68C6E"/>
    <w:lvl w:ilvl="0">
      <w:start w:val="1"/>
      <w:numFmt w:val="lowerLetter"/>
      <w:lvlText w:val="%1)"/>
      <w:lvlJc w:val="left"/>
      <w:pPr>
        <w:tabs>
          <w:tab w:val="num" w:pos="0"/>
        </w:tabs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1" w15:restartNumberingAfterBreak="0">
    <w:nsid w:val="73E5737C"/>
    <w:multiLevelType w:val="multilevel"/>
    <w:tmpl w:val="347C0A42"/>
    <w:lvl w:ilvl="0">
      <w:start w:val="5"/>
      <w:numFmt w:val="decimal"/>
      <w:lvlText w:val="%1)"/>
      <w:lvlJc w:val="left"/>
      <w:pPr>
        <w:tabs>
          <w:tab w:val="num" w:pos="0"/>
        </w:tabs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75C01F51"/>
    <w:multiLevelType w:val="hybridMultilevel"/>
    <w:tmpl w:val="8D66E642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514031">
    <w:abstractNumId w:val="5"/>
  </w:num>
  <w:num w:numId="2" w16cid:durableId="374307941">
    <w:abstractNumId w:val="3"/>
  </w:num>
  <w:num w:numId="3" w16cid:durableId="2134982674">
    <w:abstractNumId w:val="1"/>
  </w:num>
  <w:num w:numId="4" w16cid:durableId="791480344">
    <w:abstractNumId w:val="9"/>
  </w:num>
  <w:num w:numId="5" w16cid:durableId="1115249421">
    <w:abstractNumId w:val="10"/>
  </w:num>
  <w:num w:numId="6" w16cid:durableId="1338381372">
    <w:abstractNumId w:val="11"/>
  </w:num>
  <w:num w:numId="7" w16cid:durableId="109664359">
    <w:abstractNumId w:val="0"/>
  </w:num>
  <w:num w:numId="8" w16cid:durableId="974330923">
    <w:abstractNumId w:val="12"/>
  </w:num>
  <w:num w:numId="9" w16cid:durableId="1478524618">
    <w:abstractNumId w:val="2"/>
  </w:num>
  <w:num w:numId="10" w16cid:durableId="1902053719">
    <w:abstractNumId w:val="6"/>
  </w:num>
  <w:num w:numId="11" w16cid:durableId="84813584">
    <w:abstractNumId w:val="8"/>
  </w:num>
  <w:num w:numId="12" w16cid:durableId="1511526769">
    <w:abstractNumId w:val="4"/>
  </w:num>
  <w:num w:numId="13" w16cid:durableId="12419826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BD3"/>
    <w:rsid w:val="000E33A5"/>
    <w:rsid w:val="00125F4A"/>
    <w:rsid w:val="003B11F5"/>
    <w:rsid w:val="00B11BD3"/>
    <w:rsid w:val="00BC20D3"/>
    <w:rsid w:val="00CB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D4C8A"/>
  <w15:chartTrackingRefBased/>
  <w15:docId w15:val="{1A1BBB27-CFD6-40D7-A87D-FF4B13DE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BD3"/>
    <w:pPr>
      <w:suppressAutoHyphens/>
      <w:spacing w:after="200" w:line="276" w:lineRule="auto"/>
    </w:pPr>
    <w:rPr>
      <w:rFonts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B11BD3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uiPriority w:val="99"/>
    <w:qFormat/>
    <w:rsid w:val="00B11BD3"/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11BD3"/>
    <w:rPr>
      <w:rFonts w:ascii="Times New Roman" w:eastAsia="Times New Roman" w:hAnsi="Times New Roman" w:cs="Calibri"/>
      <w:color w:val="00000A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B11BD3"/>
    <w:rPr>
      <w:color w:val="0000FF"/>
      <w:u w:val="single"/>
    </w:rPr>
  </w:style>
  <w:style w:type="character" w:styleId="Pogrubienie">
    <w:name w:val="Strong"/>
    <w:uiPriority w:val="22"/>
    <w:qFormat/>
    <w:rsid w:val="00B11BD3"/>
    <w:rPr>
      <w:b/>
      <w:bCs/>
    </w:rPr>
  </w:style>
  <w:style w:type="paragraph" w:styleId="Tekstpodstawowy">
    <w:name w:val="Body Text"/>
    <w:basedOn w:val="Normalny"/>
    <w:link w:val="TekstpodstawowyZnak"/>
    <w:rsid w:val="00B11BD3"/>
    <w:pPr>
      <w:widowControl w:val="0"/>
      <w:spacing w:after="120" w:line="240" w:lineRule="auto"/>
      <w:jc w:val="both"/>
      <w:textAlignment w:val="baseline"/>
    </w:pPr>
    <w:rPr>
      <w:rFonts w:ascii="Times New Roman" w:eastAsia="Times New Roman" w:hAnsi="Times New Roman" w:cs="Calibri"/>
      <w:color w:val="00000A"/>
      <w:kern w:val="2"/>
      <w:sz w:val="24"/>
      <w:szCs w:val="24"/>
      <w:lang w:eastAsia="ar-SA"/>
      <w14:ligatures w14:val="standardContextual"/>
    </w:rPr>
  </w:style>
  <w:style w:type="character" w:customStyle="1" w:styleId="TekstpodstawowyZnak1">
    <w:name w:val="Tekst podstawowy Znak1"/>
    <w:basedOn w:val="Domylnaczcionkaakapitu"/>
    <w:uiPriority w:val="99"/>
    <w:semiHidden/>
    <w:rsid w:val="00B11BD3"/>
    <w:rPr>
      <w:rFonts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B11B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B11BD3"/>
    <w:pPr>
      <w:tabs>
        <w:tab w:val="center" w:pos="4536"/>
        <w:tab w:val="right" w:pos="9072"/>
      </w:tabs>
    </w:pPr>
    <w:rPr>
      <w:rFonts w:ascii="Calibri" w:eastAsia="Calibri" w:hAnsi="Calibri"/>
      <w:kern w:val="2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B11BD3"/>
    <w:rPr>
      <w:rFonts w:cs="Times New Roman"/>
      <w:kern w:val="0"/>
      <w14:ligatures w14:val="none"/>
    </w:rPr>
  </w:style>
  <w:style w:type="paragraph" w:customStyle="1" w:styleId="Standard">
    <w:name w:val="Standard"/>
    <w:qFormat/>
    <w:rsid w:val="00B11BD3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styleId="Bezodstpw">
    <w:name w:val="No Spacing"/>
    <w:qFormat/>
    <w:rsid w:val="00B11BD3"/>
    <w:pPr>
      <w:suppressAutoHyphens/>
      <w:spacing w:after="0" w:line="240" w:lineRule="auto"/>
    </w:pPr>
    <w:rPr>
      <w:rFonts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20</Pages>
  <Words>5406</Words>
  <Characters>32438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2023-11-14T07:56:00Z</dcterms:created>
  <dcterms:modified xsi:type="dcterms:W3CDTF">2023-11-14T09:50:00Z</dcterms:modified>
</cp:coreProperties>
</file>