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900D" w14:textId="41A917F9" w:rsidR="00DA2A7E" w:rsidRPr="0099539C" w:rsidRDefault="00AA2B5C" w:rsidP="00F83427">
      <w:pPr>
        <w:spacing w:line="276" w:lineRule="auto"/>
        <w:jc w:val="right"/>
        <w:rPr>
          <w:rFonts w:ascii="Garamond" w:hAnsi="Garamond"/>
          <w:sz w:val="24"/>
          <w:szCs w:val="24"/>
        </w:rPr>
      </w:pPr>
      <w:r w:rsidRPr="0099539C">
        <w:rPr>
          <w:rFonts w:ascii="Garamond" w:hAnsi="Garamond"/>
          <w:sz w:val="24"/>
          <w:szCs w:val="24"/>
        </w:rPr>
        <w:t>Poznań</w:t>
      </w:r>
      <w:r w:rsidR="00DA2A7E" w:rsidRPr="0099539C">
        <w:rPr>
          <w:rFonts w:ascii="Garamond" w:hAnsi="Garamond"/>
          <w:sz w:val="24"/>
          <w:szCs w:val="24"/>
        </w:rPr>
        <w:t xml:space="preserve"> dnia: </w:t>
      </w:r>
      <w:r w:rsidRPr="0099539C">
        <w:rPr>
          <w:rFonts w:ascii="Garamond" w:hAnsi="Garamond"/>
          <w:sz w:val="24"/>
          <w:szCs w:val="24"/>
        </w:rPr>
        <w:t>202</w:t>
      </w:r>
      <w:r w:rsidR="00D16B36" w:rsidRPr="0099539C">
        <w:rPr>
          <w:rFonts w:ascii="Garamond" w:hAnsi="Garamond"/>
          <w:sz w:val="24"/>
          <w:szCs w:val="24"/>
        </w:rPr>
        <w:t>3</w:t>
      </w:r>
      <w:r w:rsidRPr="0099539C">
        <w:rPr>
          <w:rFonts w:ascii="Garamond" w:hAnsi="Garamond"/>
          <w:sz w:val="24"/>
          <w:szCs w:val="24"/>
        </w:rPr>
        <w:t>-0</w:t>
      </w:r>
      <w:r w:rsidR="00D16B36" w:rsidRPr="0099539C">
        <w:rPr>
          <w:rFonts w:ascii="Garamond" w:hAnsi="Garamond"/>
          <w:sz w:val="24"/>
          <w:szCs w:val="24"/>
        </w:rPr>
        <w:t>2</w:t>
      </w:r>
      <w:r w:rsidRPr="0099539C">
        <w:rPr>
          <w:rFonts w:ascii="Garamond" w:hAnsi="Garamond"/>
          <w:sz w:val="24"/>
          <w:szCs w:val="24"/>
        </w:rPr>
        <w:t>-</w:t>
      </w:r>
      <w:r w:rsidR="00827564">
        <w:rPr>
          <w:rFonts w:ascii="Garamond" w:hAnsi="Garamond"/>
          <w:sz w:val="24"/>
          <w:szCs w:val="24"/>
        </w:rPr>
        <w:t>22</w:t>
      </w:r>
    </w:p>
    <w:p w14:paraId="4E1AFAE9" w14:textId="77777777" w:rsidR="00AA2B5C" w:rsidRPr="0099539C" w:rsidRDefault="00AA2B5C" w:rsidP="00F83427">
      <w:pPr>
        <w:spacing w:line="276" w:lineRule="auto"/>
        <w:rPr>
          <w:rFonts w:ascii="Garamond" w:hAnsi="Garamond"/>
          <w:b/>
          <w:bCs/>
          <w:sz w:val="24"/>
          <w:szCs w:val="24"/>
        </w:rPr>
      </w:pPr>
      <w:r w:rsidRPr="0099539C">
        <w:rPr>
          <w:rFonts w:ascii="Garamond" w:hAnsi="Garamond"/>
          <w:b/>
          <w:bCs/>
          <w:sz w:val="24"/>
          <w:szCs w:val="24"/>
        </w:rPr>
        <w:t>Szpital Wojewódzki w Poznaniu</w:t>
      </w:r>
    </w:p>
    <w:p w14:paraId="7C18A8FD" w14:textId="77777777" w:rsidR="00DA2A7E" w:rsidRPr="0099539C" w:rsidRDefault="00AA2B5C" w:rsidP="00F83427">
      <w:pPr>
        <w:spacing w:line="276" w:lineRule="auto"/>
        <w:rPr>
          <w:rFonts w:ascii="Garamond" w:hAnsi="Garamond"/>
          <w:b/>
          <w:bCs/>
          <w:sz w:val="24"/>
          <w:szCs w:val="24"/>
        </w:rPr>
      </w:pPr>
      <w:r w:rsidRPr="0099539C">
        <w:rPr>
          <w:rFonts w:ascii="Garamond" w:hAnsi="Garamond"/>
          <w:b/>
          <w:bCs/>
          <w:sz w:val="24"/>
          <w:szCs w:val="24"/>
        </w:rPr>
        <w:t>Dział Zamówień Publicznych</w:t>
      </w:r>
    </w:p>
    <w:p w14:paraId="5917E4C6" w14:textId="77777777" w:rsidR="00DA2A7E" w:rsidRPr="0099539C" w:rsidRDefault="00AA2B5C" w:rsidP="00F83427">
      <w:pPr>
        <w:spacing w:line="276" w:lineRule="auto"/>
        <w:rPr>
          <w:rFonts w:ascii="Garamond" w:hAnsi="Garamond"/>
          <w:sz w:val="24"/>
          <w:szCs w:val="24"/>
        </w:rPr>
      </w:pPr>
      <w:r w:rsidRPr="0099539C">
        <w:rPr>
          <w:rFonts w:ascii="Garamond" w:hAnsi="Garamond"/>
          <w:sz w:val="24"/>
          <w:szCs w:val="24"/>
        </w:rPr>
        <w:t>Juraszów</w:t>
      </w:r>
      <w:r w:rsidR="00DA2A7E" w:rsidRPr="0099539C">
        <w:rPr>
          <w:rFonts w:ascii="Garamond" w:hAnsi="Garamond"/>
          <w:sz w:val="24"/>
          <w:szCs w:val="24"/>
        </w:rPr>
        <w:t xml:space="preserve"> </w:t>
      </w:r>
      <w:r w:rsidRPr="0099539C">
        <w:rPr>
          <w:rFonts w:ascii="Garamond" w:hAnsi="Garamond"/>
          <w:sz w:val="24"/>
          <w:szCs w:val="24"/>
        </w:rPr>
        <w:t>7/19</w:t>
      </w:r>
    </w:p>
    <w:p w14:paraId="04B06B4E" w14:textId="77777777" w:rsidR="00DA2A7E" w:rsidRPr="0099539C" w:rsidRDefault="00AA2B5C" w:rsidP="00F83427">
      <w:pPr>
        <w:spacing w:line="276" w:lineRule="auto"/>
        <w:rPr>
          <w:rFonts w:ascii="Garamond" w:hAnsi="Garamond"/>
          <w:sz w:val="24"/>
          <w:szCs w:val="24"/>
        </w:rPr>
      </w:pPr>
      <w:r w:rsidRPr="0099539C">
        <w:rPr>
          <w:rFonts w:ascii="Garamond" w:hAnsi="Garamond"/>
          <w:sz w:val="24"/>
          <w:szCs w:val="24"/>
        </w:rPr>
        <w:t>60-479</w:t>
      </w:r>
      <w:r w:rsidR="00DA2A7E" w:rsidRPr="0099539C">
        <w:rPr>
          <w:rFonts w:ascii="Garamond" w:hAnsi="Garamond"/>
          <w:sz w:val="24"/>
          <w:szCs w:val="24"/>
        </w:rPr>
        <w:t xml:space="preserve"> </w:t>
      </w:r>
      <w:r w:rsidRPr="0099539C">
        <w:rPr>
          <w:rFonts w:ascii="Garamond" w:hAnsi="Garamond"/>
          <w:sz w:val="24"/>
          <w:szCs w:val="24"/>
        </w:rPr>
        <w:t>Poznań</w:t>
      </w:r>
    </w:p>
    <w:p w14:paraId="6EF891FF" w14:textId="77777777" w:rsidR="003C0F19" w:rsidRPr="0099539C" w:rsidRDefault="003C0F19" w:rsidP="00F83427">
      <w:pPr>
        <w:tabs>
          <w:tab w:val="left" w:pos="708"/>
          <w:tab w:val="center" w:pos="4536"/>
          <w:tab w:val="right" w:pos="9072"/>
        </w:tabs>
        <w:spacing w:line="276" w:lineRule="auto"/>
        <w:ind w:left="5812"/>
        <w:rPr>
          <w:rFonts w:ascii="Garamond" w:hAnsi="Garamond"/>
          <w:bCs/>
          <w:sz w:val="24"/>
          <w:szCs w:val="24"/>
        </w:rPr>
      </w:pPr>
    </w:p>
    <w:p w14:paraId="400A3412" w14:textId="77777777" w:rsidR="003C0F19" w:rsidRPr="0099539C" w:rsidRDefault="003C0F19" w:rsidP="00F83427">
      <w:pPr>
        <w:tabs>
          <w:tab w:val="left" w:pos="708"/>
          <w:tab w:val="center" w:pos="4536"/>
          <w:tab w:val="right" w:pos="9072"/>
        </w:tabs>
        <w:spacing w:line="276" w:lineRule="auto"/>
        <w:ind w:left="5812"/>
        <w:rPr>
          <w:rFonts w:ascii="Garamond" w:hAnsi="Garamond"/>
          <w:bCs/>
          <w:sz w:val="24"/>
          <w:szCs w:val="24"/>
        </w:rPr>
      </w:pPr>
    </w:p>
    <w:p w14:paraId="70E133F8" w14:textId="3C37B43C" w:rsidR="00DA2A7E" w:rsidRPr="0099539C" w:rsidRDefault="00DA2A7E" w:rsidP="00F83427">
      <w:pPr>
        <w:tabs>
          <w:tab w:val="left" w:pos="708"/>
          <w:tab w:val="center" w:pos="4536"/>
          <w:tab w:val="right" w:pos="9072"/>
        </w:tabs>
        <w:spacing w:line="276" w:lineRule="auto"/>
        <w:ind w:left="5812"/>
        <w:rPr>
          <w:rFonts w:ascii="Garamond" w:hAnsi="Garamond"/>
          <w:b/>
          <w:sz w:val="24"/>
          <w:szCs w:val="24"/>
        </w:rPr>
      </w:pPr>
      <w:r w:rsidRPr="0099539C">
        <w:rPr>
          <w:rFonts w:ascii="Garamond" w:hAnsi="Garamond"/>
          <w:b/>
          <w:sz w:val="24"/>
          <w:szCs w:val="24"/>
        </w:rPr>
        <w:t>WYKONAWCY</w:t>
      </w:r>
    </w:p>
    <w:p w14:paraId="0A9397C0" w14:textId="627C5AF2" w:rsidR="00DA2A7E" w:rsidRPr="0099539C" w:rsidRDefault="00DA2A7E" w:rsidP="00F83427">
      <w:pPr>
        <w:tabs>
          <w:tab w:val="left" w:pos="708"/>
          <w:tab w:val="center" w:pos="4536"/>
          <w:tab w:val="right" w:pos="9072"/>
        </w:tabs>
        <w:spacing w:line="276" w:lineRule="auto"/>
        <w:ind w:left="5812"/>
        <w:rPr>
          <w:rFonts w:ascii="Garamond" w:hAnsi="Garamond"/>
          <w:sz w:val="24"/>
          <w:szCs w:val="24"/>
        </w:rPr>
      </w:pPr>
      <w:r w:rsidRPr="0099539C">
        <w:rPr>
          <w:rFonts w:ascii="Garamond" w:hAnsi="Garamond"/>
          <w:sz w:val="24"/>
          <w:szCs w:val="24"/>
        </w:rPr>
        <w:t>ubiegający się o zamówienie</w:t>
      </w:r>
    </w:p>
    <w:p w14:paraId="57B9EFE5" w14:textId="1335194F" w:rsidR="003C0F19" w:rsidRPr="0099539C" w:rsidRDefault="003C0F19" w:rsidP="00F83427">
      <w:pPr>
        <w:tabs>
          <w:tab w:val="left" w:pos="708"/>
          <w:tab w:val="center" w:pos="4536"/>
          <w:tab w:val="right" w:pos="9072"/>
        </w:tabs>
        <w:spacing w:line="276" w:lineRule="auto"/>
        <w:ind w:left="5812"/>
        <w:rPr>
          <w:rFonts w:ascii="Garamond" w:hAnsi="Garamond"/>
          <w:sz w:val="24"/>
          <w:szCs w:val="24"/>
        </w:rPr>
      </w:pPr>
    </w:p>
    <w:p w14:paraId="77189B80" w14:textId="77777777" w:rsidR="003C0F19" w:rsidRPr="0099539C" w:rsidRDefault="003C0F19" w:rsidP="00F83427">
      <w:pPr>
        <w:tabs>
          <w:tab w:val="left" w:pos="708"/>
          <w:tab w:val="center" w:pos="4536"/>
          <w:tab w:val="right" w:pos="9072"/>
        </w:tabs>
        <w:spacing w:line="276" w:lineRule="auto"/>
        <w:ind w:left="5812"/>
        <w:rPr>
          <w:rFonts w:ascii="Garamond" w:hAnsi="Garamond"/>
          <w:sz w:val="24"/>
          <w:szCs w:val="24"/>
        </w:rPr>
      </w:pPr>
    </w:p>
    <w:p w14:paraId="5B314E88" w14:textId="77777777" w:rsidR="00DA2A7E" w:rsidRPr="0099539C" w:rsidRDefault="00DA2A7E" w:rsidP="00F83427">
      <w:pPr>
        <w:keepNext/>
        <w:spacing w:line="276" w:lineRule="auto"/>
        <w:jc w:val="center"/>
        <w:outlineLvl w:val="0"/>
        <w:rPr>
          <w:rFonts w:ascii="Garamond" w:hAnsi="Garamond"/>
          <w:b/>
          <w:kern w:val="28"/>
          <w:sz w:val="24"/>
          <w:szCs w:val="24"/>
        </w:rPr>
      </w:pPr>
      <w:r w:rsidRPr="0099539C">
        <w:rPr>
          <w:rFonts w:ascii="Garamond" w:hAnsi="Garamond"/>
          <w:b/>
          <w:kern w:val="28"/>
          <w:sz w:val="24"/>
          <w:szCs w:val="24"/>
        </w:rPr>
        <w:t>ZAWIADOMIENIE</w:t>
      </w:r>
    </w:p>
    <w:p w14:paraId="0D9E9093" w14:textId="0612795C" w:rsidR="00DA2A7E" w:rsidRPr="0099539C" w:rsidRDefault="00DA2A7E" w:rsidP="00F83427">
      <w:pPr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99539C">
        <w:rPr>
          <w:rFonts w:ascii="Garamond" w:hAnsi="Garamond"/>
          <w:b/>
          <w:sz w:val="24"/>
          <w:szCs w:val="24"/>
        </w:rPr>
        <w:t>o unieważnieniu postępowania</w:t>
      </w:r>
    </w:p>
    <w:p w14:paraId="0DC67BA4" w14:textId="1282056B" w:rsidR="003C0F19" w:rsidRPr="0099539C" w:rsidRDefault="003C0F19" w:rsidP="00F83427">
      <w:pPr>
        <w:spacing w:line="276" w:lineRule="auto"/>
        <w:jc w:val="center"/>
        <w:rPr>
          <w:rFonts w:ascii="Garamond" w:hAnsi="Garamond"/>
          <w:b/>
          <w:sz w:val="24"/>
          <w:szCs w:val="24"/>
        </w:rPr>
      </w:pPr>
    </w:p>
    <w:p w14:paraId="21168E40" w14:textId="77777777" w:rsidR="003C0F19" w:rsidRPr="0099539C" w:rsidRDefault="003C0F19" w:rsidP="00F83427">
      <w:pPr>
        <w:spacing w:line="276" w:lineRule="auto"/>
        <w:jc w:val="center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49"/>
        <w:gridCol w:w="8021"/>
      </w:tblGrid>
      <w:tr w:rsidR="00AA2B5C" w:rsidRPr="0099539C" w14:paraId="08FD7802" w14:textId="77777777" w:rsidTr="004009B5">
        <w:trPr>
          <w:trHeight w:val="638"/>
        </w:trPr>
        <w:tc>
          <w:tcPr>
            <w:tcW w:w="959" w:type="dxa"/>
            <w:shd w:val="clear" w:color="auto" w:fill="auto"/>
          </w:tcPr>
          <w:p w14:paraId="171D10BA" w14:textId="77777777" w:rsidR="00AA2B5C" w:rsidRPr="0099539C" w:rsidRDefault="00AA2B5C" w:rsidP="00F83427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9539C">
              <w:rPr>
                <w:rFonts w:ascii="Garamond" w:hAnsi="Garamond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C97BA8" w14:textId="47036157" w:rsidR="00AA2B5C" w:rsidRPr="0099539C" w:rsidRDefault="00AA2B5C" w:rsidP="00F83427">
            <w:pPr>
              <w:spacing w:line="276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99539C">
              <w:rPr>
                <w:rFonts w:ascii="Garamond" w:hAnsi="Garamond"/>
                <w:sz w:val="24"/>
                <w:szCs w:val="24"/>
              </w:rPr>
              <w:t xml:space="preserve">postępowania o udzielenie zamówienia publicznego, prowadzonego w trybie </w:t>
            </w:r>
            <w:r w:rsidR="00607E56">
              <w:rPr>
                <w:rFonts w:ascii="Garamond" w:hAnsi="Garamond"/>
                <w:sz w:val="24"/>
                <w:szCs w:val="24"/>
              </w:rPr>
              <w:t>przetargu nieo</w:t>
            </w:r>
            <w:r w:rsidR="00510223">
              <w:rPr>
                <w:rFonts w:ascii="Garamond" w:hAnsi="Garamond"/>
                <w:sz w:val="24"/>
                <w:szCs w:val="24"/>
              </w:rPr>
              <w:t>graniczonego</w:t>
            </w:r>
            <w:r w:rsidRPr="0099539C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99539C">
              <w:rPr>
                <w:rFonts w:ascii="Garamond" w:hAnsi="Garamond"/>
                <w:bCs/>
                <w:sz w:val="24"/>
                <w:szCs w:val="24"/>
              </w:rPr>
              <w:t>na”</w:t>
            </w:r>
            <w:r w:rsidR="0099539C">
              <w:t xml:space="preserve"> </w:t>
            </w:r>
            <w:r w:rsidR="0099539C" w:rsidRPr="0099539C">
              <w:rPr>
                <w:rFonts w:ascii="Garamond" w:hAnsi="Garamond"/>
                <w:b/>
                <w:bCs/>
                <w:sz w:val="24"/>
                <w:szCs w:val="24"/>
              </w:rPr>
              <w:t>Dostawa oprogramowania wraz z usługami wdrożenia, szkolenia i opieki serwisowej - Ujednolicenia systemów HIS i ERP w Szpitalu Wojewódzkim w Poznaniu.</w:t>
            </w:r>
            <w:r w:rsidRPr="0099539C">
              <w:rPr>
                <w:rFonts w:ascii="Garamond" w:hAnsi="Garamond"/>
                <w:b/>
                <w:bCs/>
                <w:sz w:val="24"/>
                <w:szCs w:val="24"/>
              </w:rPr>
              <w:t>"</w:t>
            </w:r>
            <w:r w:rsidRPr="0099539C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99539C">
              <w:rPr>
                <w:rFonts w:ascii="Garamond" w:hAnsi="Garamond"/>
                <w:bCs/>
                <w:sz w:val="24"/>
                <w:szCs w:val="24"/>
              </w:rPr>
              <w:t>– znak sprawy</w:t>
            </w:r>
            <w:r w:rsidRPr="0099539C">
              <w:rPr>
                <w:rFonts w:ascii="Garamond" w:hAnsi="Garamond"/>
                <w:b/>
                <w:sz w:val="24"/>
                <w:szCs w:val="24"/>
              </w:rPr>
              <w:t xml:space="preserve"> SZW/DZP/</w:t>
            </w:r>
            <w:r w:rsidR="0099539C" w:rsidRPr="0099539C">
              <w:rPr>
                <w:rFonts w:ascii="Garamond" w:hAnsi="Garamond"/>
                <w:b/>
                <w:sz w:val="24"/>
                <w:szCs w:val="24"/>
              </w:rPr>
              <w:t>37</w:t>
            </w:r>
            <w:r w:rsidRPr="0099539C">
              <w:rPr>
                <w:rFonts w:ascii="Garamond" w:hAnsi="Garamond"/>
                <w:b/>
                <w:sz w:val="24"/>
                <w:szCs w:val="24"/>
              </w:rPr>
              <w:t>/2022</w:t>
            </w:r>
            <w:r w:rsidRPr="0099539C">
              <w:rPr>
                <w:rFonts w:ascii="Garamond" w:hAnsi="Garamond"/>
                <w:bCs/>
                <w:sz w:val="24"/>
                <w:szCs w:val="24"/>
              </w:rPr>
              <w:t>.</w:t>
            </w:r>
          </w:p>
          <w:p w14:paraId="5D6177FE" w14:textId="77777777" w:rsidR="003C0F19" w:rsidRPr="0099539C" w:rsidRDefault="003C0F19" w:rsidP="00F83427">
            <w:pPr>
              <w:spacing w:line="276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</w:p>
          <w:p w14:paraId="51176152" w14:textId="0D99B92C" w:rsidR="003C0F19" w:rsidRPr="0099539C" w:rsidRDefault="003C0F19" w:rsidP="00F83427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180C562C" w14:textId="342A194F" w:rsidR="00DA2A7E" w:rsidRPr="0099539C" w:rsidRDefault="00DA2A7E" w:rsidP="00F83427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9539C">
        <w:rPr>
          <w:rFonts w:ascii="Garamond" w:hAnsi="Garamond"/>
          <w:sz w:val="24"/>
          <w:szCs w:val="24"/>
        </w:rPr>
        <w:t xml:space="preserve">Zamawiający, </w:t>
      </w:r>
      <w:r w:rsidR="00AA2B5C" w:rsidRPr="0099539C">
        <w:rPr>
          <w:rFonts w:ascii="Garamond" w:hAnsi="Garamond"/>
          <w:b/>
          <w:sz w:val="24"/>
          <w:szCs w:val="24"/>
        </w:rPr>
        <w:t>Szpital Wojewódzki w Poznaniu</w:t>
      </w:r>
      <w:r w:rsidR="003C0F19" w:rsidRPr="0099539C">
        <w:rPr>
          <w:rFonts w:ascii="Garamond" w:hAnsi="Garamond"/>
          <w:b/>
          <w:sz w:val="24"/>
          <w:szCs w:val="24"/>
        </w:rPr>
        <w:t xml:space="preserve">, </w:t>
      </w:r>
      <w:r w:rsidR="00AA2B5C" w:rsidRPr="0099539C">
        <w:rPr>
          <w:rFonts w:ascii="Garamond" w:hAnsi="Garamond"/>
          <w:b/>
          <w:sz w:val="24"/>
          <w:szCs w:val="24"/>
        </w:rPr>
        <w:t>Dział Zamówień Publicznych</w:t>
      </w:r>
      <w:r w:rsidRPr="0099539C">
        <w:rPr>
          <w:rFonts w:ascii="Garamond" w:hAnsi="Garamond"/>
          <w:sz w:val="24"/>
          <w:szCs w:val="24"/>
        </w:rPr>
        <w:t xml:space="preserve">, działając na podstawie </w:t>
      </w:r>
      <w:r w:rsidR="00D16B36" w:rsidRPr="0099539C">
        <w:rPr>
          <w:rFonts w:ascii="Garamond" w:hAnsi="Garamond"/>
          <w:sz w:val="24"/>
          <w:szCs w:val="24"/>
        </w:rPr>
        <w:t xml:space="preserve">art. 260 ust. 2 w związku z art. 255 pkt 6 ustawy z dnia 11 września 2019 r. - Prawo zamówień publicznych </w:t>
      </w:r>
      <w:r w:rsidR="00AA2B5C" w:rsidRPr="0099539C">
        <w:rPr>
          <w:rFonts w:ascii="Garamond" w:hAnsi="Garamond"/>
          <w:sz w:val="24"/>
          <w:szCs w:val="24"/>
        </w:rPr>
        <w:t>(</w:t>
      </w:r>
      <w:proofErr w:type="spellStart"/>
      <w:r w:rsidR="00AA2B5C" w:rsidRPr="0099539C">
        <w:rPr>
          <w:rFonts w:ascii="Garamond" w:hAnsi="Garamond"/>
          <w:sz w:val="24"/>
          <w:szCs w:val="24"/>
        </w:rPr>
        <w:t>t.j</w:t>
      </w:r>
      <w:proofErr w:type="spellEnd"/>
      <w:r w:rsidR="00AA2B5C" w:rsidRPr="0099539C">
        <w:rPr>
          <w:rFonts w:ascii="Garamond" w:hAnsi="Garamond"/>
          <w:sz w:val="24"/>
          <w:szCs w:val="24"/>
        </w:rPr>
        <w:t xml:space="preserve">. Dz.U. z 2021r. poz. 1129 z </w:t>
      </w:r>
      <w:proofErr w:type="spellStart"/>
      <w:r w:rsidR="00AA2B5C" w:rsidRPr="0099539C">
        <w:rPr>
          <w:rFonts w:ascii="Garamond" w:hAnsi="Garamond"/>
          <w:sz w:val="24"/>
          <w:szCs w:val="24"/>
        </w:rPr>
        <w:t>późn</w:t>
      </w:r>
      <w:proofErr w:type="spellEnd"/>
      <w:r w:rsidR="00AA2B5C" w:rsidRPr="0099539C">
        <w:rPr>
          <w:rFonts w:ascii="Garamond" w:hAnsi="Garamond"/>
          <w:sz w:val="24"/>
          <w:szCs w:val="24"/>
        </w:rPr>
        <w:t>. zm.)</w:t>
      </w:r>
      <w:r w:rsidRPr="0099539C">
        <w:rPr>
          <w:rFonts w:ascii="Garamond" w:hAnsi="Garamond"/>
          <w:sz w:val="24"/>
          <w:szCs w:val="24"/>
        </w:rPr>
        <w:t xml:space="preserve">, zwanej dalej „ustawą </w:t>
      </w:r>
      <w:proofErr w:type="spellStart"/>
      <w:r w:rsidRPr="0099539C">
        <w:rPr>
          <w:rFonts w:ascii="Garamond" w:hAnsi="Garamond"/>
          <w:b/>
          <w:bCs/>
          <w:sz w:val="24"/>
          <w:szCs w:val="24"/>
        </w:rPr>
        <w:t>Pzp</w:t>
      </w:r>
      <w:proofErr w:type="spellEnd"/>
      <w:r w:rsidRPr="0099539C">
        <w:rPr>
          <w:rFonts w:ascii="Garamond" w:hAnsi="Garamond"/>
          <w:sz w:val="24"/>
          <w:szCs w:val="24"/>
        </w:rPr>
        <w:t>”, zawiadamia, że unieważnia postępowanie o udzielenie zamówienia publicznego.</w:t>
      </w:r>
    </w:p>
    <w:p w14:paraId="3C0701D2" w14:textId="77777777" w:rsidR="003C0F19" w:rsidRPr="0099539C" w:rsidRDefault="003C0F19" w:rsidP="00F83427">
      <w:pPr>
        <w:spacing w:line="276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2C52A616" w14:textId="045E9857" w:rsidR="00DA2A7E" w:rsidRPr="0099539C" w:rsidRDefault="00DA2A7E" w:rsidP="00F83427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9539C">
        <w:rPr>
          <w:rFonts w:ascii="Garamond" w:hAnsi="Garamond"/>
          <w:b/>
          <w:bCs/>
          <w:sz w:val="24"/>
          <w:szCs w:val="24"/>
        </w:rPr>
        <w:t>Uzasadnienie prawne</w:t>
      </w:r>
      <w:r w:rsidRPr="0099539C">
        <w:rPr>
          <w:rFonts w:ascii="Garamond" w:hAnsi="Garamond"/>
          <w:sz w:val="24"/>
          <w:szCs w:val="24"/>
        </w:rPr>
        <w:t>:</w:t>
      </w:r>
    </w:p>
    <w:tbl>
      <w:tblPr>
        <w:tblW w:w="924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550"/>
      </w:tblGrid>
      <w:tr w:rsidR="00F83427" w:rsidRPr="0099539C" w14:paraId="6F4FC86F" w14:textId="77777777" w:rsidTr="00F83427">
        <w:trPr>
          <w:trHeight w:val="239"/>
        </w:trPr>
        <w:tc>
          <w:tcPr>
            <w:tcW w:w="2694" w:type="dxa"/>
            <w:shd w:val="clear" w:color="auto" w:fill="auto"/>
          </w:tcPr>
          <w:p w14:paraId="79BA5422" w14:textId="301964AA" w:rsidR="00AA2B5C" w:rsidRPr="0099539C" w:rsidRDefault="00AA2B5C" w:rsidP="00F83427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9539C">
              <w:rPr>
                <w:rFonts w:ascii="Garamond" w:hAnsi="Garamond"/>
                <w:sz w:val="24"/>
                <w:szCs w:val="24"/>
              </w:rPr>
              <w:t xml:space="preserve">Art. 255 pkt. </w:t>
            </w:r>
            <w:r w:rsidR="00D16B36" w:rsidRPr="0099539C">
              <w:rPr>
                <w:rFonts w:ascii="Garamond" w:hAnsi="Garamond"/>
                <w:sz w:val="24"/>
                <w:szCs w:val="24"/>
              </w:rPr>
              <w:t>6</w:t>
            </w:r>
            <w:r w:rsidRPr="0099539C">
              <w:rPr>
                <w:rFonts w:ascii="Garamond" w:hAnsi="Garamond"/>
                <w:sz w:val="24"/>
                <w:szCs w:val="24"/>
              </w:rPr>
              <w:t xml:space="preserve"> ustawy </w:t>
            </w:r>
            <w:proofErr w:type="spellStart"/>
            <w:r w:rsidRPr="0099539C">
              <w:rPr>
                <w:rFonts w:ascii="Garamond" w:hAnsi="Garamond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7935247" w14:textId="77777777" w:rsidR="00F83427" w:rsidRDefault="00F83427" w:rsidP="00F83427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7C3A9AC1" w14:textId="584E86B9" w:rsidR="00AA2B5C" w:rsidRPr="0099539C" w:rsidRDefault="00D16B36" w:rsidP="00F83427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9539C">
              <w:rPr>
                <w:rFonts w:ascii="Garamond" w:hAnsi="Garamond"/>
                <w:sz w:val="24"/>
                <w:szCs w:val="24"/>
              </w:rPr>
              <w:t>Podstawą prawną unieważnienia postępowania jest art. 255 pkt 6 ustawy - Prawo zamówień publicznych, który stanowi, że Zamawiający unieważnia postępowanie o udzielenie zamówienia, jeżeli postępowanie obarczone jest niemożliwą do usunięcia wadą uniemożliwiającą zawarcie niepodlegającej unieważnieniu umowy w sprawie zamówienia publicznego.</w:t>
            </w:r>
          </w:p>
        </w:tc>
      </w:tr>
    </w:tbl>
    <w:p w14:paraId="2E8CE895" w14:textId="77777777" w:rsidR="003C0F19" w:rsidRPr="00993532" w:rsidRDefault="003C0F19" w:rsidP="00F83427">
      <w:pPr>
        <w:pStyle w:val="Nagwek6"/>
        <w:spacing w:line="276" w:lineRule="auto"/>
        <w:rPr>
          <w:rFonts w:ascii="Garamond" w:hAnsi="Garamond"/>
          <w:color w:val="000000" w:themeColor="text1"/>
          <w:sz w:val="24"/>
          <w:szCs w:val="24"/>
        </w:rPr>
      </w:pPr>
    </w:p>
    <w:p w14:paraId="62C940EF" w14:textId="2EAC9996" w:rsidR="00DA2A7E" w:rsidRPr="00993532" w:rsidRDefault="00DA2A7E" w:rsidP="00F83427">
      <w:pPr>
        <w:pStyle w:val="Nagwek6"/>
        <w:spacing w:line="276" w:lineRule="auto"/>
        <w:rPr>
          <w:rFonts w:ascii="Garamond" w:hAnsi="Garamond"/>
          <w:color w:val="000000" w:themeColor="text1"/>
          <w:sz w:val="24"/>
          <w:szCs w:val="24"/>
        </w:rPr>
      </w:pPr>
      <w:r w:rsidRPr="00993532">
        <w:rPr>
          <w:rFonts w:ascii="Garamond" w:hAnsi="Garamond"/>
          <w:color w:val="000000" w:themeColor="text1"/>
          <w:sz w:val="24"/>
          <w:szCs w:val="24"/>
        </w:rPr>
        <w:t>Uzasadnienie faktyczne</w:t>
      </w:r>
      <w:r w:rsidRPr="00993532">
        <w:rPr>
          <w:rFonts w:ascii="Garamond" w:hAnsi="Garamond"/>
          <w:b w:val="0"/>
          <w:bCs/>
          <w:color w:val="000000" w:themeColor="text1"/>
          <w:sz w:val="24"/>
          <w:szCs w:val="24"/>
        </w:rPr>
        <w:t>:</w:t>
      </w:r>
    </w:p>
    <w:p w14:paraId="26AF9E26" w14:textId="4B5EB05B" w:rsidR="00F83427" w:rsidRPr="00F83427" w:rsidRDefault="0099539C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 xml:space="preserve">Po otwarciu ofert, w trakcie trwania czynności badania, </w:t>
      </w:r>
      <w:r w:rsidR="003F738C" w:rsidRPr="00993532">
        <w:rPr>
          <w:rFonts w:ascii="Garamond" w:hAnsi="Garamond"/>
          <w:color w:val="000000" w:themeColor="text1"/>
          <w:szCs w:val="24"/>
        </w:rPr>
        <w:t xml:space="preserve">w tym również na skutek orzeczenia KIO z dnia </w:t>
      </w:r>
      <w:r w:rsidR="00827564">
        <w:rPr>
          <w:rFonts w:ascii="Garamond" w:hAnsi="Garamond"/>
          <w:color w:val="000000" w:themeColor="text1"/>
          <w:szCs w:val="24"/>
        </w:rPr>
        <w:t>5 stycznia 2023r.</w:t>
      </w:r>
      <w:r w:rsidR="003F738C" w:rsidRPr="00993532">
        <w:rPr>
          <w:rFonts w:ascii="Garamond" w:hAnsi="Garamond"/>
          <w:color w:val="000000" w:themeColor="text1"/>
          <w:szCs w:val="24"/>
        </w:rPr>
        <w:t xml:space="preserve"> sygn.</w:t>
      </w:r>
      <w:r w:rsidR="00C82D97">
        <w:rPr>
          <w:rFonts w:ascii="Garamond" w:hAnsi="Garamond"/>
          <w:color w:val="000000" w:themeColor="text1"/>
          <w:szCs w:val="24"/>
        </w:rPr>
        <w:t xml:space="preserve"> </w:t>
      </w:r>
      <w:r w:rsidR="00827564">
        <w:rPr>
          <w:rFonts w:ascii="Garamond" w:hAnsi="Garamond"/>
          <w:color w:val="000000" w:themeColor="text1"/>
          <w:szCs w:val="24"/>
        </w:rPr>
        <w:t>3443/22</w:t>
      </w:r>
      <w:r w:rsidR="003F738C" w:rsidRPr="00993532">
        <w:rPr>
          <w:rFonts w:ascii="Garamond" w:hAnsi="Garamond"/>
          <w:color w:val="000000" w:themeColor="text1"/>
          <w:szCs w:val="24"/>
        </w:rPr>
        <w:t xml:space="preserve"> </w:t>
      </w:r>
      <w:r w:rsidR="00993532" w:rsidRPr="00993532">
        <w:rPr>
          <w:rFonts w:ascii="Garamond" w:hAnsi="Garamond"/>
          <w:color w:val="000000" w:themeColor="text1"/>
          <w:szCs w:val="24"/>
        </w:rPr>
        <w:t>wydanego</w:t>
      </w:r>
      <w:r w:rsidR="003F738C" w:rsidRPr="00993532">
        <w:rPr>
          <w:rFonts w:ascii="Garamond" w:hAnsi="Garamond"/>
          <w:color w:val="000000" w:themeColor="text1"/>
          <w:szCs w:val="24"/>
        </w:rPr>
        <w:t xml:space="preserve"> na skutek odwołania jednego z oferentów</w:t>
      </w:r>
      <w:r w:rsidR="00993532">
        <w:rPr>
          <w:rFonts w:ascii="Garamond" w:hAnsi="Garamond"/>
          <w:color w:val="000000" w:themeColor="text1"/>
          <w:szCs w:val="24"/>
        </w:rPr>
        <w:t>,</w:t>
      </w:r>
      <w:r w:rsidR="003F738C" w:rsidRPr="00993532">
        <w:rPr>
          <w:rFonts w:ascii="Garamond" w:hAnsi="Garamond"/>
          <w:color w:val="000000" w:themeColor="text1"/>
          <w:szCs w:val="24"/>
        </w:rPr>
        <w:t xml:space="preserve"> </w:t>
      </w:r>
      <w:r w:rsidRPr="00993532">
        <w:rPr>
          <w:rFonts w:ascii="Garamond" w:hAnsi="Garamond"/>
          <w:color w:val="000000" w:themeColor="text1"/>
          <w:szCs w:val="24"/>
        </w:rPr>
        <w:t xml:space="preserve">Zamawiający powziął informację, że postępowanie obarczone jest </w:t>
      </w:r>
      <w:r w:rsidR="00C82D97" w:rsidRPr="00993532">
        <w:rPr>
          <w:rFonts w:ascii="Garamond" w:hAnsi="Garamond"/>
          <w:color w:val="000000" w:themeColor="text1"/>
          <w:szCs w:val="24"/>
        </w:rPr>
        <w:t>niemożl</w:t>
      </w:r>
      <w:r w:rsidR="00C82D97">
        <w:rPr>
          <w:rFonts w:ascii="Garamond" w:hAnsi="Garamond"/>
          <w:color w:val="000000" w:themeColor="text1"/>
          <w:szCs w:val="24"/>
        </w:rPr>
        <w:t>iwymi</w:t>
      </w:r>
      <w:r w:rsidRPr="00993532">
        <w:rPr>
          <w:rFonts w:ascii="Garamond" w:hAnsi="Garamond"/>
          <w:color w:val="000000" w:themeColor="text1"/>
          <w:szCs w:val="24"/>
        </w:rPr>
        <w:t xml:space="preserve"> do usunięcia wad</w:t>
      </w:r>
      <w:r w:rsidR="00993532">
        <w:rPr>
          <w:rFonts w:ascii="Garamond" w:hAnsi="Garamond"/>
          <w:color w:val="000000" w:themeColor="text1"/>
          <w:szCs w:val="24"/>
        </w:rPr>
        <w:t>ami</w:t>
      </w:r>
      <w:r w:rsidRPr="00993532">
        <w:rPr>
          <w:rFonts w:ascii="Garamond" w:hAnsi="Garamond"/>
          <w:color w:val="000000" w:themeColor="text1"/>
          <w:szCs w:val="24"/>
        </w:rPr>
        <w:t xml:space="preserve"> polegając</w:t>
      </w:r>
      <w:r w:rsidR="00993532">
        <w:rPr>
          <w:rFonts w:ascii="Garamond" w:hAnsi="Garamond"/>
          <w:color w:val="000000" w:themeColor="text1"/>
          <w:szCs w:val="24"/>
        </w:rPr>
        <w:t>ymi</w:t>
      </w:r>
      <w:r w:rsidRPr="00993532">
        <w:rPr>
          <w:rFonts w:ascii="Garamond" w:hAnsi="Garamond"/>
          <w:color w:val="000000" w:themeColor="text1"/>
          <w:szCs w:val="24"/>
        </w:rPr>
        <w:t xml:space="preserve"> na nieprecyzyjnym opisie przedmiotu zamówienia</w:t>
      </w:r>
      <w:r w:rsidR="00697878" w:rsidRPr="00993532">
        <w:rPr>
          <w:rFonts w:ascii="Garamond" w:hAnsi="Garamond"/>
          <w:color w:val="000000" w:themeColor="text1"/>
          <w:szCs w:val="24"/>
        </w:rPr>
        <w:t xml:space="preserve"> oraz rażącej niespójności </w:t>
      </w:r>
      <w:r w:rsidR="003F738C" w:rsidRPr="00993532">
        <w:rPr>
          <w:rFonts w:ascii="Garamond" w:hAnsi="Garamond"/>
          <w:color w:val="000000" w:themeColor="text1"/>
          <w:szCs w:val="24"/>
        </w:rPr>
        <w:t xml:space="preserve">w Opisie Przedmiotu Zamówienia, Umowie oraz </w:t>
      </w:r>
      <w:r w:rsidR="00993532" w:rsidRPr="00993532">
        <w:rPr>
          <w:rFonts w:ascii="Garamond" w:hAnsi="Garamond"/>
          <w:color w:val="000000" w:themeColor="text1"/>
          <w:szCs w:val="24"/>
        </w:rPr>
        <w:lastRenderedPageBreak/>
        <w:t>Specyfikacj</w:t>
      </w:r>
      <w:r w:rsidR="00C82D97">
        <w:rPr>
          <w:rFonts w:ascii="Garamond" w:hAnsi="Garamond"/>
          <w:color w:val="000000" w:themeColor="text1"/>
          <w:szCs w:val="24"/>
        </w:rPr>
        <w:t>i Warunków Zamówienia</w:t>
      </w:r>
      <w:r w:rsidR="003F738C" w:rsidRPr="00993532">
        <w:rPr>
          <w:rFonts w:ascii="Garamond" w:hAnsi="Garamond"/>
          <w:color w:val="000000" w:themeColor="text1"/>
          <w:szCs w:val="24"/>
        </w:rPr>
        <w:t>, a także wadliwie określonym kryterium oceny ofert</w:t>
      </w:r>
      <w:r w:rsidR="00993532">
        <w:rPr>
          <w:rFonts w:ascii="Garamond" w:hAnsi="Garamond"/>
          <w:color w:val="000000" w:themeColor="text1"/>
          <w:szCs w:val="24"/>
        </w:rPr>
        <w:t>.</w:t>
      </w:r>
    </w:p>
    <w:p w14:paraId="3640A9E3" w14:textId="49C85D49" w:rsidR="00993532" w:rsidRPr="00993532" w:rsidRDefault="00993532" w:rsidP="00F83427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color w:val="000000" w:themeColor="text1"/>
          <w:szCs w:val="24"/>
        </w:rPr>
      </w:pPr>
      <w:r w:rsidRPr="00993532">
        <w:rPr>
          <w:rFonts w:ascii="Garamond" w:hAnsi="Garamond"/>
          <w:b/>
          <w:bCs/>
          <w:color w:val="000000" w:themeColor="text1"/>
          <w:szCs w:val="24"/>
        </w:rPr>
        <w:t>[I]</w:t>
      </w:r>
    </w:p>
    <w:p w14:paraId="5C1DB275" w14:textId="6B183F72" w:rsidR="00993532" w:rsidRPr="00993532" w:rsidRDefault="00993532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W</w:t>
      </w:r>
      <w:r w:rsidR="0099539C" w:rsidRPr="00993532">
        <w:rPr>
          <w:rFonts w:ascii="Garamond" w:hAnsi="Garamond"/>
          <w:color w:val="000000" w:themeColor="text1"/>
          <w:szCs w:val="24"/>
        </w:rPr>
        <w:t xml:space="preserve"> </w:t>
      </w:r>
      <w:r w:rsidR="003F738C" w:rsidRPr="00993532">
        <w:rPr>
          <w:rFonts w:ascii="Garamond" w:hAnsi="Garamond"/>
          <w:color w:val="000000" w:themeColor="text1"/>
          <w:szCs w:val="24"/>
        </w:rPr>
        <w:t>z</w:t>
      </w:r>
      <w:r w:rsidR="0099539C" w:rsidRPr="00993532">
        <w:rPr>
          <w:rFonts w:ascii="Garamond" w:hAnsi="Garamond"/>
          <w:color w:val="000000" w:themeColor="text1"/>
          <w:szCs w:val="24"/>
        </w:rPr>
        <w:t>ałącznik</w:t>
      </w:r>
      <w:r w:rsidR="003F738C" w:rsidRPr="00993532">
        <w:rPr>
          <w:rFonts w:ascii="Garamond" w:hAnsi="Garamond"/>
          <w:color w:val="000000" w:themeColor="text1"/>
          <w:szCs w:val="24"/>
        </w:rPr>
        <w:t>u</w:t>
      </w:r>
      <w:r w:rsidR="0099539C" w:rsidRPr="00993532">
        <w:rPr>
          <w:rFonts w:ascii="Garamond" w:hAnsi="Garamond"/>
          <w:color w:val="000000" w:themeColor="text1"/>
          <w:szCs w:val="24"/>
        </w:rPr>
        <w:t xml:space="preserve"> Nr 1 do SWZ, tj. Formularz</w:t>
      </w:r>
      <w:r w:rsidR="003F738C" w:rsidRPr="00993532">
        <w:rPr>
          <w:rFonts w:ascii="Garamond" w:hAnsi="Garamond"/>
          <w:color w:val="000000" w:themeColor="text1"/>
          <w:szCs w:val="24"/>
        </w:rPr>
        <w:t>u</w:t>
      </w:r>
      <w:r w:rsidR="0099539C" w:rsidRPr="00993532">
        <w:rPr>
          <w:rFonts w:ascii="Garamond" w:hAnsi="Garamond"/>
          <w:color w:val="000000" w:themeColor="text1"/>
          <w:szCs w:val="24"/>
        </w:rPr>
        <w:t xml:space="preserve"> ofertowy</w:t>
      </w:r>
      <w:r w:rsidR="003F738C" w:rsidRPr="00993532">
        <w:rPr>
          <w:rFonts w:ascii="Garamond" w:hAnsi="Garamond"/>
          <w:color w:val="000000" w:themeColor="text1"/>
          <w:szCs w:val="24"/>
        </w:rPr>
        <w:t>m</w:t>
      </w:r>
      <w:r w:rsidR="00C84A6D" w:rsidRPr="00993532">
        <w:rPr>
          <w:rFonts w:ascii="Garamond" w:hAnsi="Garamond"/>
          <w:color w:val="000000" w:themeColor="text1"/>
          <w:szCs w:val="24"/>
        </w:rPr>
        <w:t>, oferent był zobligowany do wskazania liczby „</w:t>
      </w:r>
      <w:r w:rsidR="00F72202" w:rsidRPr="00993532">
        <w:rPr>
          <w:rFonts w:ascii="Garamond" w:hAnsi="Garamond"/>
          <w:i/>
          <w:iCs/>
          <w:color w:val="000000" w:themeColor="text1"/>
          <w:szCs w:val="24"/>
        </w:rPr>
        <w:t xml:space="preserve">godzin ewaluacyjnych </w:t>
      </w:r>
      <w:r w:rsidR="00F72202" w:rsidRPr="00993532">
        <w:rPr>
          <w:rFonts w:ascii="Garamond" w:hAnsi="Garamond"/>
          <w:b/>
          <w:bCs/>
          <w:i/>
          <w:iCs/>
          <w:color w:val="000000" w:themeColor="text1"/>
          <w:szCs w:val="24"/>
          <w:u w:val="single"/>
        </w:rPr>
        <w:t>w okresie gwarancyjnym</w:t>
      </w:r>
      <w:r>
        <w:rPr>
          <w:rFonts w:ascii="Garamond" w:hAnsi="Garamond"/>
          <w:color w:val="000000" w:themeColor="text1"/>
          <w:szCs w:val="24"/>
        </w:rPr>
        <w:t>”</w:t>
      </w:r>
      <w:r w:rsidR="00C84A6D" w:rsidRPr="00993532">
        <w:rPr>
          <w:rFonts w:ascii="Garamond" w:hAnsi="Garamond"/>
          <w:color w:val="000000" w:themeColor="text1"/>
          <w:szCs w:val="24"/>
        </w:rPr>
        <w:t>.</w:t>
      </w:r>
      <w:r>
        <w:rPr>
          <w:rFonts w:ascii="Garamond" w:hAnsi="Garamond"/>
          <w:color w:val="000000" w:themeColor="text1"/>
          <w:szCs w:val="24"/>
        </w:rPr>
        <w:t xml:space="preserve"> J</w:t>
      </w:r>
      <w:r w:rsidRPr="00993532">
        <w:rPr>
          <w:rFonts w:ascii="Garamond" w:hAnsi="Garamond"/>
          <w:color w:val="000000" w:themeColor="text1"/>
          <w:szCs w:val="24"/>
        </w:rPr>
        <w:t>ednocześnie</w:t>
      </w:r>
      <w:r w:rsidR="00C84A6D" w:rsidRPr="00993532">
        <w:rPr>
          <w:rFonts w:ascii="Garamond" w:hAnsi="Garamond"/>
          <w:color w:val="000000" w:themeColor="text1"/>
          <w:szCs w:val="24"/>
        </w:rPr>
        <w:t xml:space="preserve"> w SWZ wskazano, iż </w:t>
      </w:r>
      <w:r w:rsidRPr="00993532">
        <w:rPr>
          <w:rFonts w:ascii="Garamond" w:hAnsi="Garamond"/>
          <w:color w:val="000000" w:themeColor="text1"/>
          <w:szCs w:val="24"/>
        </w:rPr>
        <w:t>zadeklarowana</w:t>
      </w:r>
      <w:r w:rsidR="00C84A6D" w:rsidRPr="00993532">
        <w:rPr>
          <w:rFonts w:ascii="Garamond" w:hAnsi="Garamond"/>
          <w:color w:val="000000" w:themeColor="text1"/>
          <w:szCs w:val="24"/>
        </w:rPr>
        <w:t xml:space="preserve"> liczba godzin ewaluacyjnych w okresie gwarancyjnym stanowi III kryterium oceny ofert z wagą</w:t>
      </w:r>
      <w:r>
        <w:rPr>
          <w:rFonts w:ascii="Garamond" w:hAnsi="Garamond"/>
          <w:color w:val="000000" w:themeColor="text1"/>
          <w:szCs w:val="24"/>
        </w:rPr>
        <w:t xml:space="preserve"> aż</w:t>
      </w:r>
      <w:r w:rsidR="00C84A6D" w:rsidRPr="00993532">
        <w:rPr>
          <w:rFonts w:ascii="Garamond" w:hAnsi="Garamond"/>
          <w:color w:val="000000" w:themeColor="text1"/>
          <w:szCs w:val="24"/>
        </w:rPr>
        <w:t xml:space="preserve"> 30%</w:t>
      </w:r>
      <w:r>
        <w:rPr>
          <w:rFonts w:ascii="Garamond" w:hAnsi="Garamond"/>
          <w:color w:val="000000" w:themeColor="text1"/>
          <w:szCs w:val="24"/>
        </w:rPr>
        <w:t>.</w:t>
      </w:r>
      <w:r w:rsidR="00C84A6D" w:rsidRPr="00993532">
        <w:rPr>
          <w:rFonts w:ascii="Garamond" w:hAnsi="Garamond"/>
          <w:color w:val="000000" w:themeColor="text1"/>
          <w:szCs w:val="24"/>
        </w:rPr>
        <w:t xml:space="preserve"> </w:t>
      </w:r>
      <w:r>
        <w:rPr>
          <w:rFonts w:ascii="Garamond" w:hAnsi="Garamond"/>
          <w:color w:val="000000" w:themeColor="text1"/>
          <w:szCs w:val="24"/>
        </w:rPr>
        <w:t>P</w:t>
      </w:r>
      <w:r w:rsidR="00C84A6D" w:rsidRPr="00993532">
        <w:rPr>
          <w:rFonts w:ascii="Garamond" w:hAnsi="Garamond"/>
          <w:color w:val="000000" w:themeColor="text1"/>
          <w:szCs w:val="24"/>
        </w:rPr>
        <w:t>rzy</w:t>
      </w:r>
      <w:r>
        <w:rPr>
          <w:rFonts w:ascii="Garamond" w:hAnsi="Garamond"/>
          <w:color w:val="000000" w:themeColor="text1"/>
          <w:szCs w:val="24"/>
        </w:rPr>
        <w:t xml:space="preserve"> czym</w:t>
      </w:r>
      <w:r w:rsidR="00C84A6D" w:rsidRPr="00993532">
        <w:rPr>
          <w:rFonts w:ascii="Garamond" w:hAnsi="Garamond"/>
          <w:color w:val="000000" w:themeColor="text1"/>
          <w:szCs w:val="24"/>
        </w:rPr>
        <w:t xml:space="preserve"> </w:t>
      </w:r>
      <w:r>
        <w:rPr>
          <w:rFonts w:ascii="Garamond" w:hAnsi="Garamond"/>
          <w:color w:val="000000" w:themeColor="text1"/>
          <w:szCs w:val="24"/>
        </w:rPr>
        <w:t>p</w:t>
      </w:r>
      <w:r w:rsidRPr="00993532">
        <w:rPr>
          <w:rFonts w:ascii="Garamond" w:hAnsi="Garamond"/>
          <w:color w:val="000000" w:themeColor="text1"/>
          <w:szCs w:val="24"/>
        </w:rPr>
        <w:t xml:space="preserve">unkty przyznane danej ofercie </w:t>
      </w:r>
      <w:r>
        <w:rPr>
          <w:rFonts w:ascii="Garamond" w:hAnsi="Garamond"/>
          <w:color w:val="000000" w:themeColor="text1"/>
          <w:szCs w:val="24"/>
        </w:rPr>
        <w:t xml:space="preserve">miały </w:t>
      </w:r>
      <w:r w:rsidRPr="00993532">
        <w:rPr>
          <w:rFonts w:ascii="Garamond" w:hAnsi="Garamond"/>
          <w:color w:val="000000" w:themeColor="text1"/>
          <w:szCs w:val="24"/>
        </w:rPr>
        <w:t>zosta</w:t>
      </w:r>
      <w:r>
        <w:rPr>
          <w:rFonts w:ascii="Garamond" w:hAnsi="Garamond"/>
          <w:color w:val="000000" w:themeColor="text1"/>
          <w:szCs w:val="24"/>
        </w:rPr>
        <w:t>ć</w:t>
      </w:r>
      <w:r w:rsidRPr="00993532">
        <w:rPr>
          <w:rFonts w:ascii="Garamond" w:hAnsi="Garamond"/>
          <w:color w:val="000000" w:themeColor="text1"/>
          <w:szCs w:val="24"/>
        </w:rPr>
        <w:t xml:space="preserve"> obliczone wg poniższego wzoru:</w:t>
      </w:r>
    </w:p>
    <w:p w14:paraId="5F8C1A94" w14:textId="77777777" w:rsidR="00993532" w:rsidRDefault="00993532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>W = Wp1 + Wp2 + Wp3</w:t>
      </w:r>
    </w:p>
    <w:p w14:paraId="5A758475" w14:textId="77777777" w:rsidR="00993532" w:rsidRDefault="00FC7463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>gdzie:</w:t>
      </w:r>
    </w:p>
    <w:p w14:paraId="2529E850" w14:textId="77777777" w:rsidR="00993532" w:rsidRDefault="00FC7463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 xml:space="preserve">W – ocena końcowa oferty – to suma punktów uzyskanych za wszystkie kryteria </w:t>
      </w:r>
    </w:p>
    <w:p w14:paraId="1D7117D4" w14:textId="77777777" w:rsidR="00993532" w:rsidRDefault="00FC7463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>Wp1 – ilość punktów uzyskanych w kryterium „Cena brutto zamówienia”</w:t>
      </w:r>
    </w:p>
    <w:p w14:paraId="57BC52BD" w14:textId="77777777" w:rsidR="00993532" w:rsidRDefault="00FC7463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>Wp2 – ilość punktów uzyskanych w kryterium „Zmniejszenie procentowe czasów usunięcia dysfunkcji zawartych w warunkach SLA [do max 50%]”</w:t>
      </w:r>
    </w:p>
    <w:p w14:paraId="405E9C19" w14:textId="77777777" w:rsidR="00993532" w:rsidRDefault="00FC7463" w:rsidP="00F83427">
      <w:pPr>
        <w:pStyle w:val="Tekstpodstawowy"/>
        <w:spacing w:line="276" w:lineRule="auto"/>
        <w:ind w:left="2835"/>
        <w:rPr>
          <w:rFonts w:ascii="Garamond" w:hAnsi="Garamond"/>
          <w:b/>
          <w:bCs/>
          <w:color w:val="000000" w:themeColor="text1"/>
          <w:szCs w:val="24"/>
        </w:rPr>
      </w:pPr>
      <w:r w:rsidRPr="00993532">
        <w:rPr>
          <w:rFonts w:ascii="Garamond" w:hAnsi="Garamond"/>
          <w:b/>
          <w:bCs/>
          <w:color w:val="000000" w:themeColor="text1"/>
          <w:szCs w:val="24"/>
        </w:rPr>
        <w:t>Wp3– ilość punktów uzyskanych w kryterium „Liczba godzin ewaluacyjnych w okresie gwarancyjnym”</w:t>
      </w:r>
    </w:p>
    <w:p w14:paraId="2E4F46CE" w14:textId="038E1AF3" w:rsidR="00993532" w:rsidRDefault="00C82D97" w:rsidP="00F83427">
      <w:pPr>
        <w:pStyle w:val="Tekstpodstawowy"/>
        <w:spacing w:line="276" w:lineRule="auto"/>
        <w:ind w:left="2835"/>
        <w:rPr>
          <w:rFonts w:ascii="Garamond" w:hAnsi="Garamond"/>
          <w:b/>
          <w:bCs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Jednocześnie </w:t>
      </w:r>
      <w:r w:rsidR="00F72202" w:rsidRPr="00993532">
        <w:rPr>
          <w:rFonts w:ascii="Garamond" w:hAnsi="Garamond"/>
          <w:color w:val="000000" w:themeColor="text1"/>
          <w:szCs w:val="24"/>
        </w:rPr>
        <w:t xml:space="preserve">Wp3=(oferowana liczba godziny ewaluacyjnych </w:t>
      </w:r>
      <w:r w:rsidR="00F72202" w:rsidRPr="00993532">
        <w:rPr>
          <w:rFonts w:ascii="Garamond" w:hAnsi="Garamond"/>
          <w:b/>
          <w:bCs/>
          <w:color w:val="000000" w:themeColor="text1"/>
          <w:szCs w:val="24"/>
        </w:rPr>
        <w:t>przez 48 miesięcy</w:t>
      </w:r>
      <w:r w:rsidR="00F72202" w:rsidRPr="00993532">
        <w:rPr>
          <w:rFonts w:ascii="Garamond" w:hAnsi="Garamond"/>
          <w:color w:val="000000" w:themeColor="text1"/>
          <w:szCs w:val="24"/>
        </w:rPr>
        <w:t>/Największa liczba godzin ewaluacyjnych w okresie 48 miesięcy)*30</w:t>
      </w:r>
      <w:r w:rsidR="00993532">
        <w:rPr>
          <w:rFonts w:ascii="Garamond" w:hAnsi="Garamond"/>
          <w:b/>
          <w:bCs/>
          <w:color w:val="000000" w:themeColor="text1"/>
          <w:szCs w:val="24"/>
        </w:rPr>
        <w:t>.</w:t>
      </w:r>
    </w:p>
    <w:p w14:paraId="7FC7F694" w14:textId="5BCA9663" w:rsidR="00993532" w:rsidRDefault="00C84A6D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 xml:space="preserve">Stosownie </w:t>
      </w:r>
      <w:r w:rsidR="00C82D97">
        <w:rPr>
          <w:rFonts w:ascii="Garamond" w:hAnsi="Garamond"/>
          <w:color w:val="000000" w:themeColor="text1"/>
          <w:szCs w:val="24"/>
        </w:rPr>
        <w:t xml:space="preserve">zaś </w:t>
      </w:r>
      <w:r w:rsidRPr="00993532">
        <w:rPr>
          <w:rFonts w:ascii="Garamond" w:hAnsi="Garamond"/>
          <w:color w:val="000000" w:themeColor="text1"/>
          <w:szCs w:val="24"/>
        </w:rPr>
        <w:t xml:space="preserve">do §12 ust. 2 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Wzoru umowy [Załącznik nr </w:t>
      </w:r>
      <w:r w:rsidR="00993532">
        <w:rPr>
          <w:rFonts w:ascii="Garamond" w:hAnsi="Garamond"/>
          <w:color w:val="000000" w:themeColor="text1"/>
          <w:szCs w:val="24"/>
        </w:rPr>
        <w:t>4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do SWZ] ustalono, iż </w:t>
      </w:r>
      <w:r w:rsidRPr="00993532">
        <w:rPr>
          <w:rFonts w:ascii="Garamond" w:hAnsi="Garamond"/>
          <w:color w:val="000000" w:themeColor="text1"/>
          <w:szCs w:val="24"/>
        </w:rPr>
        <w:t xml:space="preserve">Wykonawca udziela gwarancji na dostarczony Sprzęt, Oprogramowanie na okres zgodny z gwarancją oferowaną przez producenta Sprzętu lub Oprogramowania, jednakże </w:t>
      </w:r>
      <w:r w:rsidRPr="00993532">
        <w:rPr>
          <w:rFonts w:ascii="Garamond" w:hAnsi="Garamond"/>
          <w:b/>
          <w:bCs/>
          <w:color w:val="000000" w:themeColor="text1"/>
          <w:szCs w:val="24"/>
        </w:rPr>
        <w:t>na okres nie krótszy niż 12 miesięcy od daty podpisania protokołu odbioru końcowego bez uwag i zastrzeżeń. Wykonawca udziela Zamawiającemu gwarancji na usług Wdrożenia na okres 12 miesięcy.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</w:t>
      </w:r>
    </w:p>
    <w:p w14:paraId="5540CC9F" w14:textId="61B2730E" w:rsidR="00993532" w:rsidRDefault="00993532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T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ym samym </w:t>
      </w:r>
      <w:r w:rsidRPr="00993532">
        <w:rPr>
          <w:rFonts w:ascii="Garamond" w:hAnsi="Garamond"/>
          <w:color w:val="000000" w:themeColor="text1"/>
          <w:szCs w:val="24"/>
        </w:rPr>
        <w:t>kryterium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oceny ofert obciążane jest wadą, </w:t>
      </w:r>
      <w:r w:rsidRPr="00993532">
        <w:rPr>
          <w:rFonts w:ascii="Garamond" w:hAnsi="Garamond"/>
          <w:color w:val="000000" w:themeColor="text1"/>
          <w:szCs w:val="24"/>
        </w:rPr>
        <w:t>albowiem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odnosi się do okresu gwarancyjnego</w:t>
      </w:r>
      <w:r w:rsidR="00C82D97">
        <w:rPr>
          <w:rFonts w:ascii="Garamond" w:hAnsi="Garamond"/>
          <w:color w:val="000000" w:themeColor="text1"/>
          <w:szCs w:val="24"/>
        </w:rPr>
        <w:t xml:space="preserve"> – zgodnie z umową 12 </w:t>
      </w:r>
      <w:r w:rsidR="00323258">
        <w:rPr>
          <w:rFonts w:ascii="Garamond" w:hAnsi="Garamond"/>
          <w:color w:val="000000" w:themeColor="text1"/>
          <w:szCs w:val="24"/>
        </w:rPr>
        <w:t>miesięcy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[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Oferent w formularzu ofertowym nie miał możliwości wskazania okresu gwarancji</w:t>
      </w:r>
      <w:r w:rsidR="00FC7463" w:rsidRPr="00993532">
        <w:rPr>
          <w:rFonts w:ascii="Garamond" w:hAnsi="Garamond"/>
          <w:color w:val="000000" w:themeColor="text1"/>
          <w:szCs w:val="24"/>
        </w:rPr>
        <w:t>] natomiast, z treści opisu kryterium wynika, iż godziny ewaluacyjne mają odnosić się d</w:t>
      </w:r>
      <w:r>
        <w:rPr>
          <w:rFonts w:ascii="Garamond" w:hAnsi="Garamond"/>
          <w:color w:val="000000" w:themeColor="text1"/>
          <w:szCs w:val="24"/>
        </w:rPr>
        <w:t>o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okres</w:t>
      </w:r>
      <w:r>
        <w:rPr>
          <w:rFonts w:ascii="Garamond" w:hAnsi="Garamond"/>
          <w:color w:val="000000" w:themeColor="text1"/>
          <w:szCs w:val="24"/>
        </w:rPr>
        <w:t>u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48 miesięcy. </w:t>
      </w:r>
    </w:p>
    <w:p w14:paraId="10A1AAD7" w14:textId="3B580409" w:rsidR="00F83427" w:rsidRDefault="00FC7463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 xml:space="preserve">Z uwagi na powyższe rozbieżności nie istnieje realna możliwość porównania ofert, w szczególności, iż jeden z oferentów </w:t>
      </w:r>
      <w:r w:rsidR="00F83427" w:rsidRPr="00993532">
        <w:rPr>
          <w:rFonts w:ascii="Garamond" w:hAnsi="Garamond"/>
          <w:color w:val="000000" w:themeColor="text1"/>
          <w:szCs w:val="24"/>
        </w:rPr>
        <w:t>zaproponował</w:t>
      </w:r>
      <w:r w:rsidRPr="00993532">
        <w:rPr>
          <w:rFonts w:ascii="Garamond" w:hAnsi="Garamond"/>
          <w:color w:val="000000" w:themeColor="text1"/>
          <w:szCs w:val="24"/>
        </w:rPr>
        <w:t xml:space="preserve"> </w:t>
      </w:r>
      <w:r w:rsidR="00323258" w:rsidRPr="00323258">
        <w:rPr>
          <w:rFonts w:ascii="Garamond" w:hAnsi="Garamond"/>
          <w:color w:val="000000" w:themeColor="text1"/>
          <w:szCs w:val="24"/>
        </w:rPr>
        <w:t>1920</w:t>
      </w:r>
      <w:r w:rsidR="00323258">
        <w:rPr>
          <w:rFonts w:ascii="Garamond" w:hAnsi="Garamond"/>
          <w:color w:val="000000" w:themeColor="text1"/>
          <w:szCs w:val="24"/>
        </w:rPr>
        <w:t xml:space="preserve"> </w:t>
      </w:r>
      <w:r w:rsidRPr="00993532">
        <w:rPr>
          <w:rFonts w:ascii="Garamond" w:hAnsi="Garamond"/>
          <w:color w:val="000000" w:themeColor="text1"/>
          <w:szCs w:val="24"/>
        </w:rPr>
        <w:t xml:space="preserve">godzin w okresie </w:t>
      </w:r>
      <w:bookmarkStart w:id="0" w:name="_Hlk127946593"/>
      <w:r w:rsidRPr="00993532">
        <w:rPr>
          <w:rFonts w:ascii="Garamond" w:hAnsi="Garamond"/>
          <w:color w:val="000000" w:themeColor="text1"/>
          <w:szCs w:val="24"/>
        </w:rPr>
        <w:t>gwarancyjnym</w:t>
      </w:r>
      <w:bookmarkEnd w:id="0"/>
      <w:r w:rsidRPr="00993532">
        <w:rPr>
          <w:rFonts w:ascii="Garamond" w:hAnsi="Garamond"/>
          <w:color w:val="000000" w:themeColor="text1"/>
          <w:szCs w:val="24"/>
        </w:rPr>
        <w:t xml:space="preserve">, a drugi </w:t>
      </w:r>
      <w:r w:rsidR="00323258" w:rsidRPr="00323258">
        <w:rPr>
          <w:rFonts w:ascii="Garamond" w:hAnsi="Garamond"/>
          <w:color w:val="000000" w:themeColor="text1"/>
          <w:szCs w:val="24"/>
        </w:rPr>
        <w:t>6 240</w:t>
      </w:r>
      <w:r w:rsidRPr="00993532">
        <w:rPr>
          <w:rFonts w:ascii="Garamond" w:hAnsi="Garamond"/>
          <w:color w:val="000000" w:themeColor="text1"/>
          <w:szCs w:val="24"/>
        </w:rPr>
        <w:t xml:space="preserve"> godzin w okresie </w:t>
      </w:r>
      <w:r w:rsidR="00323258" w:rsidRPr="00323258">
        <w:rPr>
          <w:rFonts w:ascii="Garamond" w:hAnsi="Garamond"/>
          <w:color w:val="000000" w:themeColor="text1"/>
          <w:szCs w:val="24"/>
        </w:rPr>
        <w:t>gwarancyjnym</w:t>
      </w:r>
      <w:r w:rsidR="00F83427">
        <w:rPr>
          <w:rFonts w:ascii="Garamond" w:hAnsi="Garamond"/>
          <w:color w:val="000000" w:themeColor="text1"/>
          <w:szCs w:val="24"/>
        </w:rPr>
        <w:t>, albowiem oferenci różnie mogli rozumieć okres w jakim mają być realizowane godziny ewaluacyjne</w:t>
      </w:r>
      <w:r w:rsidR="00653E6E">
        <w:rPr>
          <w:rFonts w:ascii="Garamond" w:hAnsi="Garamond"/>
          <w:color w:val="000000" w:themeColor="text1"/>
          <w:szCs w:val="24"/>
        </w:rPr>
        <w:t xml:space="preserve"> – co z resztą wynika z ww. różnic</w:t>
      </w:r>
      <w:r w:rsidR="00C82D97">
        <w:rPr>
          <w:rFonts w:ascii="Garamond" w:hAnsi="Garamond"/>
          <w:color w:val="000000" w:themeColor="text1"/>
          <w:szCs w:val="24"/>
        </w:rPr>
        <w:t xml:space="preserve"> ofertowych.</w:t>
      </w:r>
    </w:p>
    <w:p w14:paraId="65F1F159" w14:textId="77777777" w:rsidR="00F83427" w:rsidRDefault="00F83427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</w:p>
    <w:p w14:paraId="627C1998" w14:textId="77777777" w:rsidR="00F83427" w:rsidRDefault="00F83427" w:rsidP="00F83427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color w:val="000000" w:themeColor="text1"/>
          <w:szCs w:val="24"/>
        </w:rPr>
      </w:pPr>
    </w:p>
    <w:p w14:paraId="5C2C93B4" w14:textId="77777777" w:rsidR="00F83427" w:rsidRDefault="00F83427" w:rsidP="00F83427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color w:val="000000" w:themeColor="text1"/>
          <w:szCs w:val="24"/>
        </w:rPr>
      </w:pPr>
    </w:p>
    <w:p w14:paraId="053B11C2" w14:textId="2D962F44" w:rsidR="00653E6E" w:rsidRPr="00653E6E" w:rsidRDefault="00653E6E" w:rsidP="00653E6E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Podkreślenia wymaga, iż </w:t>
      </w:r>
      <w:r w:rsidRPr="00653E6E">
        <w:rPr>
          <w:rFonts w:ascii="Garamond" w:hAnsi="Garamond"/>
          <w:color w:val="000000" w:themeColor="text1"/>
          <w:szCs w:val="24"/>
        </w:rPr>
        <w:t>Zamawiający wybiera najkorzystniejszą ofertę na podstawie kryteriów oceny ofert określonych w dokumentach zamówienia. Kryteria oceny ofert i ich opis nie mogą pozostawiać swobody wyboru najkorzystniejszej oferty oraz umożliwiają weryfikację i porównanie poziomu oferowanego wykonania przedmiotu zamówienia na podstawie informacji przedstawianych w ofertach. Ustalenie kryteriów w sposób opisany w pytaniu narusza powyżej wskazane zasady, które są niezmienne i nie ma od nich odstępstw. Z tego względu przedmiotowe postępowanie podlegać powinno unieważnieniu na podstawie </w:t>
      </w:r>
      <w:hyperlink r:id="rId7" w:anchor="/document/18903829?unitId=art(255)pkt(6)&amp;cm=DOCUMENT" w:history="1">
        <w:r w:rsidRPr="00653E6E">
          <w:rPr>
            <w:rFonts w:ascii="Garamond" w:hAnsi="Garamond"/>
            <w:color w:val="000000" w:themeColor="text1"/>
            <w:szCs w:val="24"/>
          </w:rPr>
          <w:t>art. 255 pkt 6</w:t>
        </w:r>
      </w:hyperlink>
      <w:r w:rsidRPr="00653E6E">
        <w:rPr>
          <w:rFonts w:ascii="Garamond" w:hAnsi="Garamond"/>
          <w:color w:val="000000" w:themeColor="text1"/>
          <w:szCs w:val="24"/>
        </w:rPr>
        <w:t> </w:t>
      </w:r>
      <w:proofErr w:type="spellStart"/>
      <w:r w:rsidRPr="00653E6E">
        <w:rPr>
          <w:rFonts w:ascii="Garamond" w:hAnsi="Garamond"/>
          <w:color w:val="000000" w:themeColor="text1"/>
          <w:szCs w:val="24"/>
        </w:rPr>
        <w:t>p.z.p</w:t>
      </w:r>
      <w:proofErr w:type="spellEnd"/>
      <w:r w:rsidRPr="00653E6E">
        <w:rPr>
          <w:rFonts w:ascii="Garamond" w:hAnsi="Garamond"/>
          <w:color w:val="000000" w:themeColor="text1"/>
          <w:szCs w:val="24"/>
        </w:rPr>
        <w:t>., zgodnie z którym zamawiający unieważnia postępowanie o udzielenie zamówienia, jeżeli postępowanie obarczone jest niemożliwą do usunięcia wadą uniemożliwiającą zawarcie niepodlegającej unieważnieniu umowy w sprawie zamówienia publicznego. Aktualne w obecnym stanie prawnym, w swych założeniach, pozostają wskazania zawarte w wyroku Krajowej Izby Odwoławczej z 16.10.2020 r.(sygn. akt: </w:t>
      </w:r>
      <w:hyperlink r:id="rId8" w:anchor="/document/539974722?cm=DOCUMENT" w:history="1">
        <w:r w:rsidRPr="00653E6E">
          <w:rPr>
            <w:rFonts w:ascii="Garamond" w:hAnsi="Garamond"/>
            <w:color w:val="000000" w:themeColor="text1"/>
            <w:szCs w:val="24"/>
          </w:rPr>
          <w:t>KIO 2438/20</w:t>
        </w:r>
      </w:hyperlink>
      <w:r w:rsidRPr="00653E6E">
        <w:rPr>
          <w:rFonts w:ascii="Garamond" w:hAnsi="Garamond"/>
          <w:color w:val="000000" w:themeColor="text1"/>
          <w:szCs w:val="24"/>
        </w:rPr>
        <w:t>) : "(...) zamawiający wybiera ofertę najkorzystniejszą na podstawie kryteriów oceny ofert określonych w specyfikacji istotnych warunków zamówienia. Jednak – co oczywiste – wybór najkorzystniejszej oferty musi nastąpić z poszanowaniem wyrażonej w art. 7 ust. 1 starego PZP zasady uczciwej konkurencji i równego traktowania wykonawców. Zatem w sytuacji, gdy stwierdzona i opisana wyżej konstrukcja kryteriów oceny ofert nie gwarantowała zachowania tych zasad to wybór najkorzystniejszej oferty nie mógłby zostać dokonany. W konsekwencji wskazać należy, iż gdyby Zamawiający, wobec opisanych wyżej wad kryteriów, zdecydował się kontynuować postępowanie i doprowadzić do wyboru najkorzystniejszej oferty, to miałby wszelkie podstawy liczyć się z możliwością unieważnienia umowy na skutek realizacji wynikającego z art. 146 ust. 6 starego PZP uprawnienia Prezesa UZP. Z tego względu Izba uznała, że w okolicznościach sprawy niewątpliwym jest, że Zamawiający miał podstawy do zastosowania art. 93 ust. 1 pkt 7 starego PZP i unieważnienia postępowania jako obarczonego niemożliwą do usunięcia wadą uniemożliwiającą zawarcie niepodlegającej unieważnieniu umowy w sprawie zamówienia publicznego.(...)</w:t>
      </w:r>
    </w:p>
    <w:p w14:paraId="75FCFB21" w14:textId="77777777" w:rsidR="00653E6E" w:rsidRDefault="00653E6E" w:rsidP="00F83427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color w:val="000000" w:themeColor="text1"/>
          <w:szCs w:val="24"/>
        </w:rPr>
      </w:pPr>
    </w:p>
    <w:p w14:paraId="544B9C99" w14:textId="726A604A" w:rsidR="00F83427" w:rsidRPr="00F83427" w:rsidRDefault="00F83427" w:rsidP="00F83427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color w:val="000000" w:themeColor="text1"/>
          <w:szCs w:val="24"/>
        </w:rPr>
      </w:pPr>
      <w:r>
        <w:rPr>
          <w:rFonts w:ascii="Garamond" w:hAnsi="Garamond"/>
          <w:b/>
          <w:bCs/>
          <w:color w:val="000000" w:themeColor="text1"/>
          <w:szCs w:val="24"/>
        </w:rPr>
        <w:t>[</w:t>
      </w:r>
      <w:r w:rsidRPr="00F83427">
        <w:rPr>
          <w:rFonts w:ascii="Garamond" w:hAnsi="Garamond"/>
          <w:b/>
          <w:bCs/>
          <w:color w:val="000000" w:themeColor="text1"/>
          <w:szCs w:val="24"/>
        </w:rPr>
        <w:t>II</w:t>
      </w:r>
      <w:r>
        <w:rPr>
          <w:rFonts w:ascii="Garamond" w:hAnsi="Garamond"/>
          <w:b/>
          <w:bCs/>
          <w:color w:val="000000" w:themeColor="text1"/>
          <w:szCs w:val="24"/>
        </w:rPr>
        <w:t>]</w:t>
      </w:r>
    </w:p>
    <w:p w14:paraId="7F318305" w14:textId="712ABFB3" w:rsidR="00FC7463" w:rsidRPr="00993532" w:rsidRDefault="00F83427" w:rsidP="00F83427">
      <w:pPr>
        <w:pStyle w:val="Tekstpodstawowy"/>
        <w:spacing w:line="276" w:lineRule="auto"/>
        <w:ind w:left="2835"/>
        <w:rPr>
          <w:rFonts w:ascii="Garamond" w:hAnsi="Garamond"/>
          <w:b/>
          <w:bCs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Niezależnie od powyższego, OPZ jest obciążony kolejną istotną wadą, albowiem w jego treści </w:t>
      </w:r>
      <w:proofErr w:type="spellStart"/>
      <w:r w:rsidR="00FC7463" w:rsidRPr="00993532">
        <w:rPr>
          <w:rFonts w:ascii="Garamond" w:hAnsi="Garamond"/>
          <w:color w:val="000000" w:themeColor="text1"/>
          <w:szCs w:val="24"/>
        </w:rPr>
        <w:t>anie</w:t>
      </w:r>
      <w:proofErr w:type="spellEnd"/>
      <w:r w:rsidR="00FC7463" w:rsidRPr="00993532">
        <w:rPr>
          <w:rFonts w:ascii="Garamond" w:hAnsi="Garamond"/>
          <w:color w:val="000000" w:themeColor="text1"/>
          <w:szCs w:val="24"/>
        </w:rPr>
        <w:t xml:space="preserve"> </w:t>
      </w:r>
      <w:r w:rsidRPr="00993532">
        <w:rPr>
          <w:rFonts w:ascii="Garamond" w:hAnsi="Garamond"/>
          <w:color w:val="000000" w:themeColor="text1"/>
          <w:szCs w:val="24"/>
        </w:rPr>
        <w:t>sprecyzowano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czym są godziny ewaluacyjne oraz jaki zakres świadczeń w ramach </w:t>
      </w:r>
      <w:r w:rsidRPr="00993532">
        <w:rPr>
          <w:rFonts w:ascii="Garamond" w:hAnsi="Garamond"/>
          <w:color w:val="000000" w:themeColor="text1"/>
          <w:szCs w:val="24"/>
        </w:rPr>
        <w:t>przedmiotowej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</w:t>
      </w:r>
      <w:r w:rsidR="00FC7463" w:rsidRPr="00993532">
        <w:rPr>
          <w:rFonts w:ascii="Garamond" w:hAnsi="Garamond"/>
          <w:color w:val="000000" w:themeColor="text1"/>
          <w:szCs w:val="24"/>
        </w:rPr>
        <w:lastRenderedPageBreak/>
        <w:t xml:space="preserve">liczby godzin ma być realizowany przez </w:t>
      </w:r>
      <w:r w:rsidRPr="00993532">
        <w:rPr>
          <w:rFonts w:ascii="Garamond" w:hAnsi="Garamond"/>
          <w:color w:val="000000" w:themeColor="text1"/>
          <w:szCs w:val="24"/>
        </w:rPr>
        <w:t>Wykonawcą</w:t>
      </w:r>
      <w:r w:rsidR="00FC7463" w:rsidRPr="00993532">
        <w:rPr>
          <w:rFonts w:ascii="Garamond" w:hAnsi="Garamond"/>
          <w:color w:val="000000" w:themeColor="text1"/>
          <w:szCs w:val="24"/>
        </w:rPr>
        <w:t>. W treści OPZ w p</w:t>
      </w:r>
      <w:r>
        <w:rPr>
          <w:rFonts w:ascii="Garamond" w:hAnsi="Garamond"/>
          <w:color w:val="000000" w:themeColor="text1"/>
          <w:szCs w:val="24"/>
        </w:rPr>
        <w:t>unkcie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 „Wizyty ewaluacyjne” [</w:t>
      </w:r>
      <w:proofErr w:type="spellStart"/>
      <w:r w:rsidR="00FC7463" w:rsidRPr="00993532">
        <w:rPr>
          <w:rFonts w:ascii="Garamond" w:hAnsi="Garamond"/>
          <w:color w:val="000000" w:themeColor="text1"/>
          <w:szCs w:val="24"/>
        </w:rPr>
        <w:t>str</w:t>
      </w:r>
      <w:proofErr w:type="spellEnd"/>
      <w:r w:rsidR="00FC7463" w:rsidRPr="00993532">
        <w:rPr>
          <w:rFonts w:ascii="Garamond" w:hAnsi="Garamond"/>
          <w:color w:val="000000" w:themeColor="text1"/>
          <w:szCs w:val="24"/>
        </w:rPr>
        <w:t xml:space="preserve"> 160 OPZ] </w:t>
      </w:r>
      <w:r w:rsidR="00FC7463" w:rsidRPr="00F83427">
        <w:rPr>
          <w:rFonts w:ascii="Garamond" w:hAnsi="Garamond"/>
          <w:color w:val="000000" w:themeColor="text1"/>
          <w:szCs w:val="24"/>
        </w:rPr>
        <w:t>wskazano</w:t>
      </w:r>
      <w:r w:rsidRPr="00F83427">
        <w:rPr>
          <w:rFonts w:ascii="Garamond" w:hAnsi="Garamond"/>
          <w:color w:val="000000" w:themeColor="text1"/>
          <w:szCs w:val="24"/>
        </w:rPr>
        <w:t xml:space="preserve"> jedynie</w:t>
      </w:r>
      <w:r w:rsidR="00FC7463" w:rsidRPr="00F83427">
        <w:rPr>
          <w:rFonts w:ascii="Garamond" w:hAnsi="Garamond"/>
          <w:color w:val="000000" w:themeColor="text1"/>
          <w:szCs w:val="24"/>
        </w:rPr>
        <w:t>, iż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>  w</w:t>
      </w:r>
      <w:r>
        <w:rPr>
          <w:rFonts w:ascii="Garamond" w:hAnsi="Garamond"/>
          <w:i/>
          <w:iCs/>
          <w:color w:val="000000" w:themeColor="text1"/>
          <w:szCs w:val="24"/>
        </w:rPr>
        <w:t xml:space="preserve"> 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ramach dokształcania kadry 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Zamawiającego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, Wykonawca zobowiązany 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bę</w:t>
      </w:r>
      <w:r w:rsidRPr="00993532">
        <w:rPr>
          <w:i/>
          <w:iCs/>
          <w:color w:val="000000" w:themeColor="text1"/>
          <w:szCs w:val="24"/>
        </w:rPr>
        <w:t>d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zie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 w okresie trwania gwarancji przynajmniej raz na </w:t>
      </w:r>
      <w:proofErr w:type="spellStart"/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>pół</w:t>
      </w:r>
      <w:proofErr w:type="spellEnd"/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 roku 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prowadzić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́ cyklicznie wizyty 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powdroż</w:t>
      </w:r>
      <w:r w:rsidRPr="00993532">
        <w:rPr>
          <w:i/>
          <w:iCs/>
          <w:color w:val="000000" w:themeColor="text1"/>
          <w:szCs w:val="24"/>
        </w:rPr>
        <w:t>e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niowe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, w trakcie </w:t>
      </w:r>
      <w:r w:rsidRPr="00993532">
        <w:rPr>
          <w:rFonts w:ascii="Garamond" w:hAnsi="Garamond"/>
          <w:i/>
          <w:iCs/>
          <w:color w:val="000000" w:themeColor="text1"/>
          <w:szCs w:val="24"/>
        </w:rPr>
        <w:t>których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 zweryfikuje poziom wykorzystania systemu i zaproponuje usprawnienia organizacyjne </w:t>
      </w:r>
      <w:r w:rsidR="00653E6E" w:rsidRPr="00993532">
        <w:rPr>
          <w:rFonts w:ascii="Garamond" w:hAnsi="Garamond"/>
          <w:i/>
          <w:iCs/>
          <w:color w:val="000000" w:themeColor="text1"/>
          <w:szCs w:val="24"/>
        </w:rPr>
        <w:t>mogą</w:t>
      </w:r>
      <w:r w:rsidR="00653E6E" w:rsidRPr="00993532">
        <w:rPr>
          <w:i/>
          <w:iCs/>
          <w:color w:val="000000" w:themeColor="text1"/>
          <w:szCs w:val="24"/>
        </w:rPr>
        <w:t>c</w:t>
      </w:r>
      <w:r w:rsidR="00653E6E" w:rsidRPr="00993532">
        <w:rPr>
          <w:rFonts w:ascii="Garamond" w:hAnsi="Garamond"/>
          <w:i/>
          <w:iCs/>
          <w:color w:val="000000" w:themeColor="text1"/>
          <w:szCs w:val="24"/>
        </w:rPr>
        <w:t>e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 </w:t>
      </w:r>
      <w:r w:rsidR="00653E6E" w:rsidRPr="00993532">
        <w:rPr>
          <w:rFonts w:ascii="Garamond" w:hAnsi="Garamond"/>
          <w:i/>
          <w:iCs/>
          <w:color w:val="000000" w:themeColor="text1"/>
          <w:szCs w:val="24"/>
        </w:rPr>
        <w:t>przynieść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 xml:space="preserve">́ </w:t>
      </w:r>
      <w:r w:rsidR="00653E6E" w:rsidRPr="00993532">
        <w:rPr>
          <w:rFonts w:ascii="Garamond" w:hAnsi="Garamond"/>
          <w:i/>
          <w:iCs/>
          <w:color w:val="000000" w:themeColor="text1"/>
          <w:szCs w:val="24"/>
        </w:rPr>
        <w:t>korzyści</w:t>
      </w:r>
      <w:r w:rsidR="00FC7463" w:rsidRPr="00993532">
        <w:rPr>
          <w:rFonts w:ascii="Garamond" w:hAnsi="Garamond"/>
          <w:i/>
          <w:iCs/>
          <w:color w:val="000000" w:themeColor="text1"/>
          <w:szCs w:val="24"/>
        </w:rPr>
        <w:t>”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. </w:t>
      </w:r>
    </w:p>
    <w:p w14:paraId="3AD3A810" w14:textId="77777777" w:rsidR="00F83427" w:rsidRDefault="00F83427" w:rsidP="00F83427">
      <w:pPr>
        <w:pStyle w:val="Tekstpodstawowy"/>
        <w:spacing w:line="276" w:lineRule="auto"/>
        <w:ind w:left="3117"/>
        <w:rPr>
          <w:rFonts w:ascii="Garamond" w:hAnsi="Garamond"/>
          <w:color w:val="000000" w:themeColor="text1"/>
          <w:szCs w:val="24"/>
        </w:rPr>
      </w:pPr>
    </w:p>
    <w:p w14:paraId="7C077CF1" w14:textId="380B4364" w:rsidR="00F83427" w:rsidRPr="00F83427" w:rsidRDefault="00F83427" w:rsidP="00F83427">
      <w:pPr>
        <w:pStyle w:val="Tekstpodstawowy"/>
        <w:spacing w:line="276" w:lineRule="auto"/>
        <w:ind w:left="3117"/>
        <w:jc w:val="center"/>
        <w:rPr>
          <w:rFonts w:ascii="Garamond" w:hAnsi="Garamond"/>
          <w:b/>
          <w:bCs/>
          <w:color w:val="000000" w:themeColor="text1"/>
          <w:szCs w:val="24"/>
        </w:rPr>
      </w:pPr>
      <w:r>
        <w:rPr>
          <w:rFonts w:ascii="Garamond" w:hAnsi="Garamond"/>
          <w:b/>
          <w:bCs/>
          <w:color w:val="000000" w:themeColor="text1"/>
          <w:szCs w:val="24"/>
        </w:rPr>
        <w:t>[</w:t>
      </w:r>
      <w:r w:rsidRPr="00F83427">
        <w:rPr>
          <w:rFonts w:ascii="Garamond" w:hAnsi="Garamond"/>
          <w:b/>
          <w:bCs/>
          <w:color w:val="000000" w:themeColor="text1"/>
          <w:szCs w:val="24"/>
        </w:rPr>
        <w:t>III</w:t>
      </w:r>
      <w:r>
        <w:rPr>
          <w:rFonts w:ascii="Garamond" w:hAnsi="Garamond"/>
          <w:b/>
          <w:bCs/>
          <w:color w:val="000000" w:themeColor="text1"/>
          <w:szCs w:val="24"/>
        </w:rPr>
        <w:t>]</w:t>
      </w:r>
    </w:p>
    <w:p w14:paraId="7B33DDE5" w14:textId="791365D9" w:rsidR="00F83427" w:rsidRDefault="00F83427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Kolejną </w:t>
      </w:r>
      <w:r w:rsidR="00C82D97">
        <w:rPr>
          <w:rFonts w:ascii="Garamond" w:hAnsi="Garamond"/>
          <w:color w:val="000000" w:themeColor="text1"/>
          <w:szCs w:val="24"/>
        </w:rPr>
        <w:t xml:space="preserve">krytyczną </w:t>
      </w:r>
      <w:r>
        <w:rPr>
          <w:rFonts w:ascii="Garamond" w:hAnsi="Garamond"/>
          <w:color w:val="000000" w:themeColor="text1"/>
          <w:szCs w:val="24"/>
        </w:rPr>
        <w:t>wadą</w:t>
      </w:r>
      <w:r w:rsidR="00C82D97">
        <w:rPr>
          <w:rFonts w:ascii="Garamond" w:hAnsi="Garamond"/>
          <w:color w:val="000000" w:themeColor="text1"/>
          <w:szCs w:val="24"/>
        </w:rPr>
        <w:t xml:space="preserve"> postępowania</w:t>
      </w:r>
      <w:r>
        <w:rPr>
          <w:rFonts w:ascii="Garamond" w:hAnsi="Garamond"/>
          <w:color w:val="000000" w:themeColor="text1"/>
          <w:szCs w:val="24"/>
        </w:rPr>
        <w:t xml:space="preserve"> jest brak określenia przez Zamawiającego zakresu zobowiązania Wykonawcy w ramach etapu II – tym samym z uwagi na brak </w:t>
      </w:r>
      <w:proofErr w:type="spellStart"/>
      <w:r w:rsidR="00653E6E" w:rsidRPr="00653E6E">
        <w:rPr>
          <w:rFonts w:ascii="Garamond" w:hAnsi="Garamond"/>
          <w:i/>
          <w:iCs/>
          <w:color w:val="000000" w:themeColor="text1"/>
          <w:szCs w:val="24"/>
        </w:rPr>
        <w:t>essentialia</w:t>
      </w:r>
      <w:proofErr w:type="spellEnd"/>
      <w:r w:rsidR="00653E6E" w:rsidRPr="00653E6E">
        <w:rPr>
          <w:rFonts w:ascii="Garamond" w:hAnsi="Garamond"/>
          <w:i/>
          <w:iCs/>
          <w:color w:val="000000" w:themeColor="text1"/>
          <w:szCs w:val="24"/>
        </w:rPr>
        <w:t xml:space="preserve"> </w:t>
      </w:r>
      <w:proofErr w:type="spellStart"/>
      <w:r w:rsidR="00653E6E" w:rsidRPr="00653E6E">
        <w:rPr>
          <w:rFonts w:ascii="Garamond" w:hAnsi="Garamond"/>
          <w:i/>
          <w:iCs/>
          <w:color w:val="000000" w:themeColor="text1"/>
          <w:szCs w:val="24"/>
        </w:rPr>
        <w:t>negotii</w:t>
      </w:r>
      <w:proofErr w:type="spellEnd"/>
      <w:r w:rsidR="00653E6E" w:rsidRPr="00653E6E">
        <w:rPr>
          <w:rFonts w:ascii="Garamond" w:hAnsi="Garamond"/>
          <w:color w:val="000000" w:themeColor="text1"/>
          <w:szCs w:val="24"/>
        </w:rPr>
        <w:t xml:space="preserve"> </w:t>
      </w:r>
      <w:r w:rsidR="00653E6E">
        <w:rPr>
          <w:rFonts w:ascii="Garamond" w:hAnsi="Garamond"/>
          <w:color w:val="000000" w:themeColor="text1"/>
          <w:szCs w:val="24"/>
        </w:rPr>
        <w:t>w powyższym zakresie nie jest możliwe zawarcie ważnej umowy.</w:t>
      </w:r>
    </w:p>
    <w:p w14:paraId="1BFFEC3A" w14:textId="4DCA82D0" w:rsidR="00FC7463" w:rsidRPr="00993532" w:rsidRDefault="00C82D97" w:rsidP="00F8342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W tym miejscu wyjaśnić należy, iż z</w:t>
      </w:r>
      <w:r w:rsidR="00FC7463" w:rsidRPr="00993532">
        <w:rPr>
          <w:rFonts w:ascii="Garamond" w:hAnsi="Garamond"/>
          <w:color w:val="000000" w:themeColor="text1"/>
          <w:szCs w:val="24"/>
        </w:rPr>
        <w:t xml:space="preserve">godnie z </w:t>
      </w:r>
      <w:r w:rsidR="00697878" w:rsidRPr="00993532">
        <w:rPr>
          <w:rFonts w:ascii="Garamond" w:hAnsi="Garamond"/>
          <w:color w:val="000000" w:themeColor="text1"/>
          <w:szCs w:val="24"/>
        </w:rPr>
        <w:t xml:space="preserve">SWZ </w:t>
      </w:r>
      <w:r>
        <w:rPr>
          <w:rFonts w:ascii="Garamond" w:hAnsi="Garamond"/>
          <w:color w:val="000000" w:themeColor="text1"/>
          <w:szCs w:val="24"/>
        </w:rPr>
        <w:t>p</w:t>
      </w:r>
      <w:r w:rsidR="00697878" w:rsidRPr="00993532">
        <w:rPr>
          <w:rFonts w:ascii="Garamond" w:hAnsi="Garamond"/>
          <w:color w:val="000000" w:themeColor="text1"/>
          <w:szCs w:val="24"/>
        </w:rPr>
        <w:t>rzedmiot zamówienia został podzielony na dwa etapy realizacji:</w:t>
      </w:r>
    </w:p>
    <w:p w14:paraId="3CAA244D" w14:textId="5E024C8C" w:rsidR="00FC7463" w:rsidRPr="00993532" w:rsidRDefault="00697878" w:rsidP="00F83427">
      <w:pPr>
        <w:pStyle w:val="Tekstpodstawowy"/>
        <w:numPr>
          <w:ilvl w:val="0"/>
          <w:numId w:val="16"/>
        </w:numPr>
        <w:spacing w:line="276" w:lineRule="auto"/>
        <w:rPr>
          <w:rFonts w:ascii="Garamond" w:hAnsi="Garamond"/>
          <w:color w:val="000000" w:themeColor="text1"/>
          <w:szCs w:val="24"/>
        </w:rPr>
      </w:pPr>
      <w:bookmarkStart w:id="1" w:name="_Hlk105575167"/>
      <w:r w:rsidRPr="00993532">
        <w:rPr>
          <w:rFonts w:ascii="Garamond" w:hAnsi="Garamond"/>
          <w:color w:val="000000" w:themeColor="text1"/>
          <w:szCs w:val="24"/>
        </w:rPr>
        <w:t>Pierwszy etap, polegający na dostawie i wdrożeniu - Wykonawca zobowiązany jest zrealizować w terminie 6 miesięcy od dnia zawarcia umowy</w:t>
      </w:r>
      <w:bookmarkEnd w:id="1"/>
      <w:r w:rsidR="00FC7463" w:rsidRPr="00993532">
        <w:rPr>
          <w:rFonts w:ascii="Garamond" w:hAnsi="Garamond"/>
          <w:color w:val="000000" w:themeColor="text1"/>
          <w:szCs w:val="24"/>
        </w:rPr>
        <w:t>;</w:t>
      </w:r>
    </w:p>
    <w:p w14:paraId="5964FE60" w14:textId="4028D056" w:rsidR="00697878" w:rsidRPr="00993532" w:rsidRDefault="00697878" w:rsidP="00F83427">
      <w:pPr>
        <w:pStyle w:val="Tekstpodstawowy"/>
        <w:numPr>
          <w:ilvl w:val="0"/>
          <w:numId w:val="16"/>
        </w:numPr>
        <w:spacing w:line="276" w:lineRule="auto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>Wykonawca zobowiązany jest realizować drugi etap przedmiotu zamówienia w okresie 48 miesięcy od ostatecznego protokolarnego przekazania pierwszego etapu przedmiotu zamówienia.</w:t>
      </w:r>
    </w:p>
    <w:p w14:paraId="7CF8C57D" w14:textId="77777777" w:rsidR="00653E6E" w:rsidRDefault="00993532" w:rsidP="00653E6E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 w:rsidRPr="00993532">
        <w:rPr>
          <w:rFonts w:ascii="Garamond" w:hAnsi="Garamond"/>
          <w:color w:val="000000" w:themeColor="text1"/>
          <w:szCs w:val="24"/>
        </w:rPr>
        <w:t xml:space="preserve">Jednocześnie zgodnie z </w:t>
      </w:r>
      <w:r w:rsidR="00697878" w:rsidRPr="00993532">
        <w:rPr>
          <w:rFonts w:ascii="Garamond" w:hAnsi="Garamond"/>
          <w:color w:val="000000" w:themeColor="text1"/>
          <w:szCs w:val="24"/>
        </w:rPr>
        <w:t>§2 ust. 5</w:t>
      </w:r>
      <w:r w:rsidRPr="00993532">
        <w:rPr>
          <w:rFonts w:ascii="Garamond" w:hAnsi="Garamond"/>
          <w:color w:val="000000" w:themeColor="text1"/>
          <w:szCs w:val="24"/>
        </w:rPr>
        <w:t xml:space="preserve"> Wzoru umowy </w:t>
      </w:r>
      <w:r w:rsidR="00FE2BF3">
        <w:rPr>
          <w:rFonts w:ascii="Garamond" w:hAnsi="Garamond"/>
          <w:color w:val="000000" w:themeColor="text1"/>
          <w:szCs w:val="24"/>
        </w:rPr>
        <w:t xml:space="preserve">- </w:t>
      </w:r>
      <w:r w:rsidR="00653E6E">
        <w:rPr>
          <w:rFonts w:ascii="Garamond" w:hAnsi="Garamond"/>
          <w:color w:val="000000" w:themeColor="text1"/>
          <w:szCs w:val="24"/>
        </w:rPr>
        <w:t>s</w:t>
      </w:r>
      <w:r w:rsidR="00697878" w:rsidRPr="00993532">
        <w:rPr>
          <w:rFonts w:ascii="Garamond" w:hAnsi="Garamond"/>
          <w:color w:val="000000" w:themeColor="text1"/>
          <w:szCs w:val="24"/>
        </w:rPr>
        <w:t xml:space="preserve">zczegółowy zakres i zasady utrzymania Systemu [etap II] </w:t>
      </w:r>
      <w:r w:rsidR="00697878" w:rsidRPr="00F83427">
        <w:rPr>
          <w:rFonts w:ascii="Garamond" w:hAnsi="Garamond"/>
          <w:b/>
          <w:bCs/>
          <w:color w:val="000000" w:themeColor="text1"/>
          <w:szCs w:val="24"/>
        </w:rPr>
        <w:t>określa SWZ stanowiący Załącznik do Umowy</w:t>
      </w:r>
      <w:r w:rsidR="00653E6E">
        <w:rPr>
          <w:rFonts w:ascii="Garamond" w:hAnsi="Garamond"/>
          <w:color w:val="000000" w:themeColor="text1"/>
          <w:szCs w:val="24"/>
        </w:rPr>
        <w:t>. W powyższym zakresie</w:t>
      </w:r>
      <w:r w:rsidR="00FE2BF3">
        <w:rPr>
          <w:rFonts w:ascii="Garamond" w:hAnsi="Garamond"/>
          <w:color w:val="000000" w:themeColor="text1"/>
          <w:szCs w:val="24"/>
        </w:rPr>
        <w:t xml:space="preserve"> </w:t>
      </w:r>
      <w:r w:rsidRPr="00993532">
        <w:rPr>
          <w:rFonts w:ascii="Garamond" w:hAnsi="Garamond"/>
          <w:color w:val="000000" w:themeColor="text1"/>
          <w:szCs w:val="24"/>
        </w:rPr>
        <w:t>SWZ</w:t>
      </w:r>
      <w:r w:rsidR="00FE2BF3">
        <w:rPr>
          <w:rFonts w:ascii="Garamond" w:hAnsi="Garamond"/>
          <w:color w:val="000000" w:themeColor="text1"/>
          <w:szCs w:val="24"/>
        </w:rPr>
        <w:t xml:space="preserve"> zawiera wadę, albowiem w jego treści nie wskazano </w:t>
      </w:r>
      <w:r w:rsidRPr="00993532">
        <w:rPr>
          <w:rFonts w:ascii="Garamond" w:hAnsi="Garamond"/>
          <w:color w:val="000000" w:themeColor="text1"/>
          <w:szCs w:val="24"/>
        </w:rPr>
        <w:t>zakres</w:t>
      </w:r>
      <w:r w:rsidR="00FE2BF3">
        <w:rPr>
          <w:rFonts w:ascii="Garamond" w:hAnsi="Garamond"/>
          <w:color w:val="000000" w:themeColor="text1"/>
          <w:szCs w:val="24"/>
        </w:rPr>
        <w:t>u</w:t>
      </w:r>
      <w:r w:rsidRPr="00993532">
        <w:rPr>
          <w:rFonts w:ascii="Garamond" w:hAnsi="Garamond"/>
          <w:color w:val="000000" w:themeColor="text1"/>
          <w:szCs w:val="24"/>
        </w:rPr>
        <w:t xml:space="preserve"> </w:t>
      </w:r>
      <w:r w:rsidR="00FE2BF3">
        <w:rPr>
          <w:rFonts w:ascii="Garamond" w:hAnsi="Garamond"/>
          <w:color w:val="000000" w:themeColor="text1"/>
          <w:szCs w:val="24"/>
        </w:rPr>
        <w:t>oraz</w:t>
      </w:r>
      <w:r w:rsidRPr="00993532">
        <w:rPr>
          <w:rFonts w:ascii="Garamond" w:hAnsi="Garamond"/>
          <w:color w:val="000000" w:themeColor="text1"/>
          <w:szCs w:val="24"/>
        </w:rPr>
        <w:t xml:space="preserve"> zasada utrzymania Systemu w ramach II </w:t>
      </w:r>
      <w:r w:rsidR="00FE2BF3" w:rsidRPr="00993532">
        <w:rPr>
          <w:rFonts w:ascii="Garamond" w:hAnsi="Garamond"/>
          <w:color w:val="000000" w:themeColor="text1"/>
          <w:szCs w:val="24"/>
        </w:rPr>
        <w:t>etapu</w:t>
      </w:r>
      <w:r w:rsidRPr="00993532">
        <w:rPr>
          <w:rFonts w:ascii="Garamond" w:hAnsi="Garamond"/>
          <w:color w:val="000000" w:themeColor="text1"/>
          <w:szCs w:val="24"/>
        </w:rPr>
        <w:t xml:space="preserve">. </w:t>
      </w:r>
    </w:p>
    <w:p w14:paraId="1DA8578B" w14:textId="587BC1DA" w:rsidR="0028340F" w:rsidRDefault="00653E6E" w:rsidP="00653E6E">
      <w:pPr>
        <w:pStyle w:val="Tekstpodstawowy"/>
        <w:spacing w:line="276" w:lineRule="auto"/>
        <w:ind w:left="2835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Bezspornym pozostaje, iż n</w:t>
      </w:r>
      <w:r w:rsidR="0099539C" w:rsidRPr="0099539C">
        <w:rPr>
          <w:rFonts w:ascii="Garamond" w:hAnsi="Garamond"/>
          <w:szCs w:val="24"/>
        </w:rPr>
        <w:t>ieprecyzyjnie opisany przedmiot zamówienia ma wpływ na wynik przedmiotowego postępowania, gdyż każdy z potencjalnych wykonawców powinien pozyskać informacje o istotnym znaczeniu dla przygotowania oferty i jej obligatoryjnych elementach. Tak sporządzony opis przedmiotu zamówienia</w:t>
      </w:r>
      <w:r w:rsidR="00C82D97">
        <w:rPr>
          <w:rFonts w:ascii="Garamond" w:hAnsi="Garamond"/>
          <w:szCs w:val="24"/>
        </w:rPr>
        <w:t xml:space="preserve"> miał wpływ </w:t>
      </w:r>
      <w:r w:rsidR="0099539C" w:rsidRPr="0099539C">
        <w:rPr>
          <w:rFonts w:ascii="Garamond" w:hAnsi="Garamond"/>
          <w:szCs w:val="24"/>
        </w:rPr>
        <w:t>na sporządzenie oferty oraz prawidłowe skalkulowanie ceny oferty</w:t>
      </w:r>
      <w:r w:rsidR="0028340F">
        <w:rPr>
          <w:rFonts w:ascii="Garamond" w:hAnsi="Garamond"/>
          <w:szCs w:val="24"/>
        </w:rPr>
        <w:t>, albowiem oferenci składając ofertę nie posiadali wiedzy o zakresie swojego zobowiązania, a tym samym Zamawiający na etapie realizacji umowy nie mógłby oczekiwać określonych działań wykonawcy w ramach umowy.</w:t>
      </w:r>
    </w:p>
    <w:p w14:paraId="6FD94230" w14:textId="77777777" w:rsidR="0028340F" w:rsidRDefault="0028340F" w:rsidP="00653E6E">
      <w:pPr>
        <w:pStyle w:val="Tekstpodstawowy"/>
        <w:spacing w:line="276" w:lineRule="auto"/>
        <w:ind w:left="2835"/>
        <w:rPr>
          <w:rFonts w:ascii="Garamond" w:hAnsi="Garamond"/>
          <w:szCs w:val="24"/>
        </w:rPr>
      </w:pPr>
    </w:p>
    <w:p w14:paraId="06C798FA" w14:textId="07DCDDFC" w:rsidR="00653E6E" w:rsidRDefault="0028340F" w:rsidP="00653E6E">
      <w:pPr>
        <w:pStyle w:val="Tekstpodstawowy"/>
        <w:spacing w:line="276" w:lineRule="auto"/>
        <w:ind w:left="2835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</w:t>
      </w:r>
      <w:r w:rsidR="0099539C" w:rsidRPr="0099539C">
        <w:rPr>
          <w:rFonts w:ascii="Garamond" w:hAnsi="Garamond"/>
          <w:szCs w:val="24"/>
        </w:rPr>
        <w:t>Mając powyższe na uwadze uznać należy, iż zachodzi przesłanka unieważnienia postępowania zgodnie z poniższym uzasadnieniem prawnym.</w:t>
      </w:r>
    </w:p>
    <w:p w14:paraId="3F3CAF77" w14:textId="1624346F" w:rsidR="00FB468F" w:rsidRDefault="00FB468F" w:rsidP="00653E6E">
      <w:pPr>
        <w:pStyle w:val="Tekstpodstawowy"/>
        <w:spacing w:line="276" w:lineRule="auto"/>
        <w:ind w:left="2835"/>
        <w:rPr>
          <w:rFonts w:ascii="Garamond" w:hAnsi="Garamond"/>
          <w:szCs w:val="24"/>
        </w:rPr>
      </w:pPr>
    </w:p>
    <w:p w14:paraId="05FC55C1" w14:textId="559F3CB6" w:rsidR="00FB468F" w:rsidRPr="002E7E59" w:rsidRDefault="00FB468F" w:rsidP="00FB468F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szCs w:val="24"/>
        </w:rPr>
      </w:pPr>
      <w:r w:rsidRPr="002E7E59">
        <w:rPr>
          <w:rFonts w:ascii="Garamond" w:hAnsi="Garamond"/>
          <w:b/>
          <w:bCs/>
          <w:szCs w:val="24"/>
        </w:rPr>
        <w:t>[IV]</w:t>
      </w:r>
    </w:p>
    <w:p w14:paraId="58E8EEF4" w14:textId="6E7C4844" w:rsidR="00FB468F" w:rsidRDefault="00FB468F" w:rsidP="00FB468F">
      <w:pPr>
        <w:pStyle w:val="Tekstpodstawowy"/>
        <w:spacing w:line="276" w:lineRule="auto"/>
        <w:ind w:left="2835"/>
        <w:jc w:val="center"/>
        <w:rPr>
          <w:rFonts w:ascii="Garamond" w:hAnsi="Garamond"/>
          <w:szCs w:val="24"/>
        </w:rPr>
      </w:pPr>
    </w:p>
    <w:p w14:paraId="30ED596E" w14:textId="7C7DF165" w:rsidR="00FB468F" w:rsidRDefault="00FB468F" w:rsidP="00481BC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lastRenderedPageBreak/>
        <w:t xml:space="preserve">Jak wskazuje się w orzecznictwie, między innymi w Wyroku </w:t>
      </w:r>
      <w:r w:rsidRPr="00FB468F">
        <w:rPr>
          <w:rFonts w:ascii="Garamond" w:hAnsi="Garamond"/>
          <w:color w:val="000000" w:themeColor="text1"/>
          <w:szCs w:val="24"/>
        </w:rPr>
        <w:t xml:space="preserve">Krajowej Izby Odwoławczej z dnia 18 lipca 2022 r., KIO 1623/22 </w:t>
      </w:r>
      <w:r w:rsidRPr="00FB468F">
        <w:rPr>
          <w:rFonts w:ascii="Garamond" w:hAnsi="Garamond"/>
          <w:i/>
          <w:iCs/>
          <w:color w:val="000000" w:themeColor="text1"/>
          <w:szCs w:val="24"/>
        </w:rPr>
        <w:t>Wady OPZ po upływie terminu składania ofert nie mogą podlegać usunięciu. Jeżeli Zamawiający przed upływem tego terminu nie skorygował postanowień OPZ w określonym zakresie, to zasadnie przyjął, iż należało unieważnić postępowanie i umożliwić wykonawcom równe szanse na uzyskanie zamówienia w ramach kolejnego postępowania.</w:t>
      </w:r>
      <w:r>
        <w:rPr>
          <w:rFonts w:ascii="Garamond" w:hAnsi="Garamond"/>
          <w:color w:val="000000" w:themeColor="text1"/>
          <w:szCs w:val="24"/>
        </w:rPr>
        <w:t xml:space="preserve"> Wady postępowania </w:t>
      </w:r>
      <w:proofErr w:type="spellStart"/>
      <w:r>
        <w:rPr>
          <w:rFonts w:ascii="Garamond" w:hAnsi="Garamond"/>
          <w:color w:val="000000" w:themeColor="text1"/>
          <w:szCs w:val="24"/>
        </w:rPr>
        <w:t>sa</w:t>
      </w:r>
      <w:proofErr w:type="spellEnd"/>
      <w:r>
        <w:rPr>
          <w:rFonts w:ascii="Garamond" w:hAnsi="Garamond"/>
          <w:color w:val="000000" w:themeColor="text1"/>
          <w:szCs w:val="24"/>
        </w:rPr>
        <w:t xml:space="preserve"> na tyle istotne, że nie sposób jest dokonać oceny ofert, bowiem nie jest jasny zakres zobowiązania wykonawcy, a przecież zakres ten nie może być większy niż jego zobowiązanie wynikające ze złożonej oferty. </w:t>
      </w:r>
      <w:r w:rsidR="00481BC7">
        <w:rPr>
          <w:rFonts w:ascii="Garamond" w:hAnsi="Garamond"/>
          <w:color w:val="000000" w:themeColor="text1"/>
          <w:szCs w:val="24"/>
        </w:rPr>
        <w:t xml:space="preserve">Szczególnie istotny jest brak precyzyjnego określenia zakresu zobowiązań wynikających z okresu gwarancyjnego i zakresu </w:t>
      </w:r>
      <w:r w:rsidR="008543E3">
        <w:rPr>
          <w:rFonts w:ascii="Garamond" w:hAnsi="Garamond"/>
          <w:color w:val="000000" w:themeColor="text1"/>
          <w:szCs w:val="24"/>
        </w:rPr>
        <w:t>zobowiązań</w:t>
      </w:r>
      <w:r w:rsidR="00481BC7">
        <w:rPr>
          <w:rFonts w:ascii="Garamond" w:hAnsi="Garamond"/>
          <w:color w:val="000000" w:themeColor="text1"/>
          <w:szCs w:val="24"/>
        </w:rPr>
        <w:t xml:space="preserve"> w zakresie utrzymania systemu. Powyższe wiąże się z brakiem określenia czy w okresie trwania gwarancji, wykonawca ma uzyskiwać świadczenie pieniężne za utrzymanie i serwis, skoro w okresie gwarancji ma wykonawca nieodpłatnie świadczyć usługi utrzymania sprawności systemu. W SWZ wskazano (</w:t>
      </w:r>
      <w:r w:rsidR="00481BC7" w:rsidRPr="00481BC7">
        <w:rPr>
          <w:rFonts w:ascii="Garamond" w:hAnsi="Garamond"/>
          <w:color w:val="000000" w:themeColor="text1"/>
          <w:szCs w:val="24"/>
        </w:rPr>
        <w:t>Zakres 6 – Gwarancja i serwis</w:t>
      </w:r>
      <w:r w:rsidR="00481BC7">
        <w:rPr>
          <w:rFonts w:ascii="Garamond" w:hAnsi="Garamond"/>
          <w:color w:val="000000" w:themeColor="text1"/>
          <w:szCs w:val="24"/>
        </w:rPr>
        <w:t xml:space="preserve">), że </w:t>
      </w:r>
      <w:r w:rsidR="00481BC7" w:rsidRPr="00481BC7">
        <w:rPr>
          <w:rFonts w:ascii="Garamond" w:hAnsi="Garamond"/>
          <w:color w:val="000000" w:themeColor="text1"/>
          <w:szCs w:val="24"/>
        </w:rPr>
        <w:t>Świadczenie usług gwarancji i serwisu ma na celu zapewnienie ciągłości sprawnego działania Systemu poprzez realizację działań naprawczych wynikających z analizy ujawnionych problemów, wykrytych Dysfunkcji systemów, niewłaściwego działania systemu, spadku wydajności, wykryciu zagrożenia włamania, itp. Zakres i warunki opisane w Załączniku 4 Wzór Umowy.</w:t>
      </w:r>
      <w:r w:rsidR="00481BC7">
        <w:rPr>
          <w:rFonts w:ascii="Garamond" w:hAnsi="Garamond"/>
          <w:color w:val="000000" w:themeColor="text1"/>
          <w:szCs w:val="24"/>
        </w:rPr>
        <w:t xml:space="preserve"> Jak wskazano we wzorze umowy, w</w:t>
      </w:r>
      <w:r w:rsidR="00481BC7" w:rsidRPr="00481BC7">
        <w:rPr>
          <w:rFonts w:ascii="Garamond" w:hAnsi="Garamond"/>
          <w:color w:val="000000" w:themeColor="text1"/>
          <w:szCs w:val="24"/>
        </w:rPr>
        <w:t xml:space="preserve"> ramach udzielonej gwarancji na usługę Wdrożenia Zamawiający jest uprawniony do żądania usunięcia Dysfunkcji, które ujawnią się w trakcie okresu obowiązywania gwarancji. Wykonawca będzie zobowiązany do usuwania Dysfunkcji niezwłocznie, zgodnie z procedurą opisaną w Załączniku nr 3 do Umowy.</w:t>
      </w:r>
      <w:r w:rsidR="00481BC7">
        <w:rPr>
          <w:rFonts w:ascii="Garamond" w:hAnsi="Garamond"/>
          <w:color w:val="000000" w:themeColor="text1"/>
          <w:szCs w:val="24"/>
        </w:rPr>
        <w:t xml:space="preserve"> Skoro zatem przez 12 miesięcy działania systemu Wykonawca miał nieodpłatnie usuwać </w:t>
      </w:r>
      <w:r w:rsidR="00F659ED">
        <w:rPr>
          <w:rFonts w:ascii="Garamond" w:hAnsi="Garamond"/>
          <w:color w:val="000000" w:themeColor="text1"/>
          <w:szCs w:val="24"/>
        </w:rPr>
        <w:t xml:space="preserve">wszelkie Dysfunkcję, a nadto w tym okresie miał gwarantować dodatkowe bliżej nieokreślone godziny ewaluacyjne, to nie sposób tego w logiczny sposób skonfrontować z obowiązkiem ponoszenia kosztów przez ten okres za etap II tj. serwis i utrzymanie (które również nie jest określone w OPZ. Co najwyżej wszelkie opłaty winny być ponoszone za okres pogwarancyjny, a więc nie 48 miesięcy, tylko 36 miesięcy, natomiast oferty składane w toku postępowania dotyczy opłat za utrzymanie i serwis przez okres 48 miesięcy, co jest sprzeczne z OPZ w zakresie okresu 12 miesięcznej gwarancji nieodpłatnego usuwania usterek systemu i przyjmowania zgłoszeń na helpdesku. </w:t>
      </w:r>
    </w:p>
    <w:p w14:paraId="2CDCC943" w14:textId="2D21D7CC" w:rsidR="00F659ED" w:rsidRDefault="00F659ED" w:rsidP="00481BC7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</w:p>
    <w:p w14:paraId="06607964" w14:textId="58FFB0CE" w:rsidR="00F659ED" w:rsidRPr="002E7E59" w:rsidRDefault="00F659ED" w:rsidP="00F659ED">
      <w:pPr>
        <w:pStyle w:val="Tekstpodstawowy"/>
        <w:spacing w:line="276" w:lineRule="auto"/>
        <w:ind w:left="2835"/>
        <w:jc w:val="center"/>
        <w:rPr>
          <w:rFonts w:ascii="Garamond" w:hAnsi="Garamond"/>
          <w:b/>
          <w:bCs/>
          <w:color w:val="000000" w:themeColor="text1"/>
          <w:szCs w:val="24"/>
        </w:rPr>
      </w:pPr>
      <w:r w:rsidRPr="002E7E59">
        <w:rPr>
          <w:rFonts w:ascii="Garamond" w:hAnsi="Garamond"/>
          <w:b/>
          <w:bCs/>
          <w:color w:val="000000" w:themeColor="text1"/>
          <w:szCs w:val="24"/>
        </w:rPr>
        <w:t>[V]</w:t>
      </w:r>
    </w:p>
    <w:p w14:paraId="642EC692" w14:textId="7184B2EA" w:rsidR="00F659ED" w:rsidRDefault="00F659ED" w:rsidP="00F659ED">
      <w:pPr>
        <w:pStyle w:val="Tekstpodstawowy"/>
        <w:spacing w:line="276" w:lineRule="auto"/>
        <w:ind w:left="2835"/>
        <w:jc w:val="center"/>
        <w:rPr>
          <w:rFonts w:ascii="Garamond" w:hAnsi="Garamond"/>
          <w:color w:val="000000" w:themeColor="text1"/>
          <w:szCs w:val="24"/>
        </w:rPr>
      </w:pPr>
    </w:p>
    <w:p w14:paraId="0AD0C016" w14:textId="7D10AAA9" w:rsidR="00F659ED" w:rsidRPr="00FB468F" w:rsidRDefault="00F659ED" w:rsidP="00F659ED">
      <w:pPr>
        <w:pStyle w:val="Tekstpodstawowy"/>
        <w:spacing w:line="276" w:lineRule="auto"/>
        <w:ind w:left="2835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lastRenderedPageBreak/>
        <w:tab/>
        <w:t xml:space="preserve">Mając powyższe na względzie, Zamawiający zamierza naprawić błędy SWZ, w tym w szczególności OPZ, w zakresie jasnego sprecyzowania zakresu zobowiązania wykonawcy, w szczególności w odniesieniu do ustalenia zakresu zobowiązania w etapie II (serwis i utrzymanie), skorelowanego z ustaleniem odpłatności świadczenia usług po upływie okresu gwarancji oraz ustaleniem odpowiednio zakresu zobowiązania w odniesieniu do tzw. godzin ewaluacyjnych i przez jaki okres mają one obowiązywać (czy w okresie etapu I, czy obu etapów z uwzględnieniem reguły nieodpłatności świadczeń w okresie gwarancyjnym). Powyższe zostanie uporządkowane w odniesieniu do </w:t>
      </w:r>
      <w:r w:rsidR="008543E3">
        <w:rPr>
          <w:rFonts w:ascii="Garamond" w:hAnsi="Garamond"/>
          <w:color w:val="000000" w:themeColor="text1"/>
          <w:szCs w:val="24"/>
        </w:rPr>
        <w:t>ustalenia nowych reguł kryteriów oceny ofert, co pozwoli na dokonanie wyboru oferenta w sposób konkurencyjny, zapewniając przy tym możliwość wykonawcy należytego oszacowania swojej oferty, w związku z jasnym określeniem jego zobowiązania.</w:t>
      </w:r>
    </w:p>
    <w:p w14:paraId="788A48DF" w14:textId="77777777" w:rsidR="00D16B36" w:rsidRPr="0099539C" w:rsidRDefault="00D16B36" w:rsidP="00F83427">
      <w:pPr>
        <w:pStyle w:val="Tekstpodstawowy"/>
        <w:spacing w:line="276" w:lineRule="auto"/>
        <w:ind w:left="3117" w:firstLine="423"/>
        <w:jc w:val="right"/>
        <w:rPr>
          <w:rFonts w:ascii="Garamond" w:hAnsi="Garamond"/>
          <w:i/>
          <w:szCs w:val="24"/>
        </w:rPr>
      </w:pPr>
    </w:p>
    <w:p w14:paraId="534A6BCB" w14:textId="69161BF7" w:rsidR="003C0F19" w:rsidRPr="0099539C" w:rsidRDefault="003C0F19" w:rsidP="00F83427">
      <w:pPr>
        <w:pStyle w:val="Tekstpodstawowy"/>
        <w:spacing w:line="276" w:lineRule="auto"/>
        <w:ind w:left="3117" w:firstLine="423"/>
        <w:jc w:val="right"/>
        <w:rPr>
          <w:rFonts w:ascii="Garamond" w:hAnsi="Garamond"/>
          <w:i/>
          <w:szCs w:val="24"/>
        </w:rPr>
      </w:pPr>
    </w:p>
    <w:p w14:paraId="309BF4BA" w14:textId="5A965EFC" w:rsidR="00F965DA" w:rsidRPr="00F965DA" w:rsidRDefault="00F965DA" w:rsidP="00F965DA">
      <w:pPr>
        <w:pStyle w:val="Tekstpodstawowy"/>
        <w:spacing w:line="276" w:lineRule="auto"/>
        <w:ind w:left="5667" w:firstLine="705"/>
        <w:rPr>
          <w:rFonts w:ascii="Garamond" w:hAnsi="Garamond"/>
          <w:color w:val="000000" w:themeColor="text1"/>
          <w:szCs w:val="24"/>
        </w:rPr>
      </w:pPr>
      <w:r w:rsidRPr="00F965DA">
        <w:rPr>
          <w:rFonts w:ascii="Garamond" w:hAnsi="Garamond"/>
          <w:color w:val="000000" w:themeColor="text1"/>
          <w:szCs w:val="24"/>
        </w:rPr>
        <w:t>Zamawiający</w:t>
      </w:r>
    </w:p>
    <w:p w14:paraId="6A0862CD" w14:textId="0CA77DEC" w:rsidR="00F965DA" w:rsidRPr="00F965DA" w:rsidRDefault="00F965DA" w:rsidP="00F965DA">
      <w:pPr>
        <w:pStyle w:val="Tekstpodstawowy"/>
        <w:spacing w:line="276" w:lineRule="auto"/>
        <w:ind w:left="4251" w:firstLine="705"/>
        <w:jc w:val="center"/>
        <w:rPr>
          <w:rFonts w:ascii="Garamond" w:hAnsi="Garamond"/>
          <w:color w:val="000000" w:themeColor="text1"/>
          <w:szCs w:val="24"/>
        </w:rPr>
      </w:pPr>
      <w:r w:rsidRPr="00F965DA">
        <w:rPr>
          <w:rFonts w:ascii="Garamond" w:hAnsi="Garamond"/>
          <w:color w:val="000000" w:themeColor="text1"/>
          <w:szCs w:val="24"/>
        </w:rPr>
        <w:t>/-/ Z-ca Dyrektora ds. Personalnych,</w:t>
      </w:r>
    </w:p>
    <w:p w14:paraId="5EC34D81" w14:textId="03367063" w:rsidR="00F965DA" w:rsidRPr="00F965DA" w:rsidRDefault="00F965DA" w:rsidP="00F965DA">
      <w:pPr>
        <w:pStyle w:val="Tekstpodstawowy"/>
        <w:spacing w:line="276" w:lineRule="auto"/>
        <w:ind w:left="5667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        </w:t>
      </w:r>
      <w:r w:rsidRPr="00F965DA">
        <w:rPr>
          <w:rFonts w:ascii="Garamond" w:hAnsi="Garamond"/>
          <w:color w:val="000000" w:themeColor="text1"/>
          <w:szCs w:val="24"/>
        </w:rPr>
        <w:t>Jakości i Marketingu</w:t>
      </w:r>
    </w:p>
    <w:p w14:paraId="479FC7B9" w14:textId="67D5E3C4" w:rsidR="003C0F19" w:rsidRPr="00F965DA" w:rsidRDefault="00F965DA" w:rsidP="00F965DA">
      <w:pPr>
        <w:pStyle w:val="Tekstpodstawowy"/>
        <w:spacing w:line="276" w:lineRule="auto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                                                                                                      </w:t>
      </w:r>
      <w:r w:rsidRPr="00F965DA">
        <w:rPr>
          <w:rFonts w:ascii="Garamond" w:hAnsi="Garamond"/>
          <w:color w:val="000000" w:themeColor="text1"/>
          <w:szCs w:val="24"/>
        </w:rPr>
        <w:t>Katarzyna Belter</w:t>
      </w:r>
    </w:p>
    <w:p w14:paraId="103BCF0A" w14:textId="77777777" w:rsidR="003C0F19" w:rsidRPr="0099539C" w:rsidRDefault="003C0F19" w:rsidP="00F83427">
      <w:pPr>
        <w:pStyle w:val="Tekstpodstawowy"/>
        <w:spacing w:line="276" w:lineRule="auto"/>
        <w:ind w:left="3117" w:firstLine="423"/>
        <w:jc w:val="right"/>
        <w:rPr>
          <w:rFonts w:ascii="Garamond" w:hAnsi="Garamond"/>
          <w:i/>
          <w:szCs w:val="24"/>
        </w:rPr>
      </w:pPr>
    </w:p>
    <w:p w14:paraId="66B27B54" w14:textId="77777777" w:rsidR="00020DF5" w:rsidRPr="0099539C" w:rsidRDefault="00020DF5" w:rsidP="00F83427">
      <w:pPr>
        <w:spacing w:line="276" w:lineRule="auto"/>
        <w:rPr>
          <w:rFonts w:ascii="Garamond" w:hAnsi="Garamond"/>
          <w:sz w:val="24"/>
          <w:szCs w:val="24"/>
        </w:rPr>
      </w:pPr>
    </w:p>
    <w:sectPr w:rsidR="00020DF5" w:rsidRPr="009953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4C543" w14:textId="77777777" w:rsidR="00245EDB" w:rsidRDefault="00245EDB">
      <w:r>
        <w:separator/>
      </w:r>
    </w:p>
  </w:endnote>
  <w:endnote w:type="continuationSeparator" w:id="0">
    <w:p w14:paraId="29858509" w14:textId="77777777" w:rsidR="00245EDB" w:rsidRDefault="0024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7C56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D996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5D3DB" w14:textId="2B45BA30" w:rsidR="003F0CBE" w:rsidRDefault="006012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FCF91C" wp14:editId="648A5E0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C6BC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"/>
          </w:pict>
        </mc:Fallback>
      </mc:AlternateContent>
    </w:r>
  </w:p>
  <w:p w14:paraId="302D240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DCA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73E39" w14:textId="77777777" w:rsidR="003F0CBE" w:rsidRDefault="003F0CBE">
    <w:pPr>
      <w:pStyle w:val="Stopka"/>
      <w:tabs>
        <w:tab w:val="clear" w:pos="4536"/>
      </w:tabs>
      <w:jc w:val="center"/>
    </w:pPr>
  </w:p>
  <w:p w14:paraId="1D4ABE7E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3EC79" w14:textId="77777777" w:rsidR="00245EDB" w:rsidRDefault="00245EDB">
      <w:r>
        <w:separator/>
      </w:r>
    </w:p>
  </w:footnote>
  <w:footnote w:type="continuationSeparator" w:id="0">
    <w:p w14:paraId="003A68AC" w14:textId="77777777" w:rsidR="00245EDB" w:rsidRDefault="00245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4570" w14:textId="77777777" w:rsidR="00AA2B5C" w:rsidRDefault="00AA2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86AB" w14:textId="77777777" w:rsidR="00AA2B5C" w:rsidRDefault="00AA2B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82A3" w14:textId="77777777" w:rsidR="00AA2B5C" w:rsidRDefault="00AA2B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F41199"/>
    <w:multiLevelType w:val="hybridMultilevel"/>
    <w:tmpl w:val="9A704B80"/>
    <w:lvl w:ilvl="0" w:tplc="04150011">
      <w:start w:val="1"/>
      <w:numFmt w:val="decimal"/>
      <w:lvlText w:val="%1)"/>
      <w:lvlJc w:val="left"/>
      <w:pPr>
        <w:ind w:left="3837" w:hanging="360"/>
      </w:pPr>
    </w:lvl>
    <w:lvl w:ilvl="1" w:tplc="04150019" w:tentative="1">
      <w:start w:val="1"/>
      <w:numFmt w:val="lowerLetter"/>
      <w:lvlText w:val="%2."/>
      <w:lvlJc w:val="left"/>
      <w:pPr>
        <w:ind w:left="4557" w:hanging="360"/>
      </w:pPr>
    </w:lvl>
    <w:lvl w:ilvl="2" w:tplc="0415001B" w:tentative="1">
      <w:start w:val="1"/>
      <w:numFmt w:val="lowerRoman"/>
      <w:lvlText w:val="%3."/>
      <w:lvlJc w:val="right"/>
      <w:pPr>
        <w:ind w:left="5277" w:hanging="180"/>
      </w:pPr>
    </w:lvl>
    <w:lvl w:ilvl="3" w:tplc="0415000F" w:tentative="1">
      <w:start w:val="1"/>
      <w:numFmt w:val="decimal"/>
      <w:lvlText w:val="%4."/>
      <w:lvlJc w:val="left"/>
      <w:pPr>
        <w:ind w:left="5997" w:hanging="360"/>
      </w:pPr>
    </w:lvl>
    <w:lvl w:ilvl="4" w:tplc="04150019" w:tentative="1">
      <w:start w:val="1"/>
      <w:numFmt w:val="lowerLetter"/>
      <w:lvlText w:val="%5."/>
      <w:lvlJc w:val="left"/>
      <w:pPr>
        <w:ind w:left="6717" w:hanging="360"/>
      </w:pPr>
    </w:lvl>
    <w:lvl w:ilvl="5" w:tplc="0415001B" w:tentative="1">
      <w:start w:val="1"/>
      <w:numFmt w:val="lowerRoman"/>
      <w:lvlText w:val="%6."/>
      <w:lvlJc w:val="right"/>
      <w:pPr>
        <w:ind w:left="7437" w:hanging="180"/>
      </w:pPr>
    </w:lvl>
    <w:lvl w:ilvl="6" w:tplc="0415000F" w:tentative="1">
      <w:start w:val="1"/>
      <w:numFmt w:val="decimal"/>
      <w:lvlText w:val="%7."/>
      <w:lvlJc w:val="left"/>
      <w:pPr>
        <w:ind w:left="8157" w:hanging="360"/>
      </w:pPr>
    </w:lvl>
    <w:lvl w:ilvl="7" w:tplc="04150019" w:tentative="1">
      <w:start w:val="1"/>
      <w:numFmt w:val="lowerLetter"/>
      <w:lvlText w:val="%8."/>
      <w:lvlJc w:val="left"/>
      <w:pPr>
        <w:ind w:left="8877" w:hanging="360"/>
      </w:pPr>
    </w:lvl>
    <w:lvl w:ilvl="8" w:tplc="0415001B" w:tentative="1">
      <w:start w:val="1"/>
      <w:numFmt w:val="lowerRoman"/>
      <w:lvlText w:val="%9."/>
      <w:lvlJc w:val="right"/>
      <w:pPr>
        <w:ind w:left="9597" w:hanging="180"/>
      </w:pPr>
    </w:lvl>
  </w:abstractNum>
  <w:abstractNum w:abstractNumId="3" w15:restartNumberingAfterBreak="0">
    <w:nsid w:val="223F06AE"/>
    <w:multiLevelType w:val="multilevel"/>
    <w:tmpl w:val="5BCCFF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2F925B6"/>
    <w:multiLevelType w:val="multilevel"/>
    <w:tmpl w:val="2D3804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CD72D9"/>
    <w:multiLevelType w:val="multilevel"/>
    <w:tmpl w:val="D77063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5866016"/>
    <w:multiLevelType w:val="multilevel"/>
    <w:tmpl w:val="D2F8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825958">
    <w:abstractNumId w:val="10"/>
  </w:num>
  <w:num w:numId="2" w16cid:durableId="1333802206">
    <w:abstractNumId w:val="15"/>
  </w:num>
  <w:num w:numId="3" w16cid:durableId="1460607397">
    <w:abstractNumId w:val="8"/>
  </w:num>
  <w:num w:numId="4" w16cid:durableId="244581256">
    <w:abstractNumId w:val="14"/>
  </w:num>
  <w:num w:numId="5" w16cid:durableId="351491194">
    <w:abstractNumId w:val="1"/>
  </w:num>
  <w:num w:numId="6" w16cid:durableId="411198170">
    <w:abstractNumId w:val="4"/>
  </w:num>
  <w:num w:numId="7" w16cid:durableId="523982228">
    <w:abstractNumId w:val="13"/>
  </w:num>
  <w:num w:numId="8" w16cid:durableId="1486897439">
    <w:abstractNumId w:val="11"/>
  </w:num>
  <w:num w:numId="9" w16cid:durableId="334378471">
    <w:abstractNumId w:val="7"/>
  </w:num>
  <w:num w:numId="10" w16cid:durableId="428937724">
    <w:abstractNumId w:val="0"/>
  </w:num>
  <w:num w:numId="11" w16cid:durableId="529563462">
    <w:abstractNumId w:val="12"/>
  </w:num>
  <w:num w:numId="12" w16cid:durableId="1910773940">
    <w:abstractNumId w:val="9"/>
  </w:num>
  <w:num w:numId="13" w16cid:durableId="114254746">
    <w:abstractNumId w:val="5"/>
  </w:num>
  <w:num w:numId="14" w16cid:durableId="1054810383">
    <w:abstractNumId w:val="6"/>
  </w:num>
  <w:num w:numId="15" w16cid:durableId="297339531">
    <w:abstractNumId w:val="3"/>
  </w:num>
  <w:num w:numId="16" w16cid:durableId="1127552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CDE"/>
    <w:rsid w:val="00020DF5"/>
    <w:rsid w:val="000345C2"/>
    <w:rsid w:val="00047A30"/>
    <w:rsid w:val="001B1480"/>
    <w:rsid w:val="00245EDB"/>
    <w:rsid w:val="0028340F"/>
    <w:rsid w:val="002D47D4"/>
    <w:rsid w:val="002E7E59"/>
    <w:rsid w:val="00323258"/>
    <w:rsid w:val="003261E7"/>
    <w:rsid w:val="00372CE9"/>
    <w:rsid w:val="003C0F19"/>
    <w:rsid w:val="003E0CDE"/>
    <w:rsid w:val="003F0CBE"/>
    <w:rsid w:val="003F738C"/>
    <w:rsid w:val="00420F05"/>
    <w:rsid w:val="00467255"/>
    <w:rsid w:val="00481BC7"/>
    <w:rsid w:val="00510223"/>
    <w:rsid w:val="005644C6"/>
    <w:rsid w:val="00601212"/>
    <w:rsid w:val="00607E56"/>
    <w:rsid w:val="00653E6E"/>
    <w:rsid w:val="00697878"/>
    <w:rsid w:val="006E6C0F"/>
    <w:rsid w:val="006E706C"/>
    <w:rsid w:val="0079556E"/>
    <w:rsid w:val="007A2D48"/>
    <w:rsid w:val="007F118B"/>
    <w:rsid w:val="00827564"/>
    <w:rsid w:val="00832499"/>
    <w:rsid w:val="008543E3"/>
    <w:rsid w:val="008A1A72"/>
    <w:rsid w:val="009553F8"/>
    <w:rsid w:val="00993532"/>
    <w:rsid w:val="0099539C"/>
    <w:rsid w:val="00A86662"/>
    <w:rsid w:val="00AA2B5C"/>
    <w:rsid w:val="00AF6582"/>
    <w:rsid w:val="00AF7988"/>
    <w:rsid w:val="00B1578C"/>
    <w:rsid w:val="00BA77A9"/>
    <w:rsid w:val="00BF7AFB"/>
    <w:rsid w:val="00C82D97"/>
    <w:rsid w:val="00C84A6D"/>
    <w:rsid w:val="00CC422D"/>
    <w:rsid w:val="00CE52C3"/>
    <w:rsid w:val="00D16B36"/>
    <w:rsid w:val="00DA2A7E"/>
    <w:rsid w:val="00E23F4F"/>
    <w:rsid w:val="00EB304B"/>
    <w:rsid w:val="00EC7892"/>
    <w:rsid w:val="00F409C4"/>
    <w:rsid w:val="00F43183"/>
    <w:rsid w:val="00F659ED"/>
    <w:rsid w:val="00F72202"/>
    <w:rsid w:val="00F83427"/>
    <w:rsid w:val="00F965DA"/>
    <w:rsid w:val="00FB2936"/>
    <w:rsid w:val="00FB468F"/>
    <w:rsid w:val="00FC7463"/>
    <w:rsid w:val="00FE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C3BA1"/>
  <w15:chartTrackingRefBased/>
  <w15:docId w15:val="{A063E1AE-B748-4FA4-9ED2-4CBE4224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C0F19"/>
    <w:rPr>
      <w:sz w:val="24"/>
    </w:rPr>
  </w:style>
  <w:style w:type="paragraph" w:styleId="NormalnyWeb">
    <w:name w:val="Normal (Web)"/>
    <w:basedOn w:val="Normalny"/>
    <w:uiPriority w:val="99"/>
    <w:unhideWhenUsed/>
    <w:rsid w:val="00D16B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16B36"/>
    <w:rPr>
      <w:b/>
      <w:bCs/>
    </w:rPr>
  </w:style>
  <w:style w:type="character" w:customStyle="1" w:styleId="apple-converted-space">
    <w:name w:val="apple-converted-space"/>
    <w:basedOn w:val="Domylnaczcionkaakapitu"/>
    <w:rsid w:val="00D16B36"/>
  </w:style>
  <w:style w:type="character" w:styleId="Uwydatnienie">
    <w:name w:val="Emphasis"/>
    <w:basedOn w:val="Domylnaczcionkaakapitu"/>
    <w:uiPriority w:val="20"/>
    <w:qFormat/>
    <w:rsid w:val="00D16B36"/>
    <w:rPr>
      <w:i/>
      <w:iCs/>
    </w:rPr>
  </w:style>
  <w:style w:type="character" w:styleId="Hipercze">
    <w:name w:val="Hyperlink"/>
    <w:basedOn w:val="Domylnaczcionkaakapitu"/>
    <w:uiPriority w:val="99"/>
    <w:unhideWhenUsed/>
    <w:rsid w:val="00832499"/>
    <w:rPr>
      <w:color w:val="0000FF"/>
      <w:u w:val="single"/>
    </w:rPr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"/>
    <w:basedOn w:val="Normalny"/>
    <w:link w:val="AkapitzlistZnak"/>
    <w:uiPriority w:val="34"/>
    <w:qFormat/>
    <w:rsid w:val="00697878"/>
    <w:pPr>
      <w:widowControl w:val="0"/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eastAsia="en-US"/>
    </w:r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"/>
    <w:link w:val="Akapitzlist"/>
    <w:uiPriority w:val="34"/>
    <w:qFormat/>
    <w:rsid w:val="00697878"/>
    <w:rPr>
      <w:rFonts w:ascii="Calibri" w:eastAsia="SimSu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43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8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6</Pages>
  <Words>1589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8</cp:revision>
  <cp:lastPrinted>2022-07-22T10:42:00Z</cp:lastPrinted>
  <dcterms:created xsi:type="dcterms:W3CDTF">2023-02-21T10:12:00Z</dcterms:created>
  <dcterms:modified xsi:type="dcterms:W3CDTF">2023-02-22T12:18:00Z</dcterms:modified>
</cp:coreProperties>
</file>