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9580" w14:textId="556638CF" w:rsidR="009F193A" w:rsidRPr="00004C1A" w:rsidRDefault="002B48C0" w:rsidP="009F193A">
      <w:pPr>
        <w:jc w:val="center"/>
        <w:rPr>
          <w:b/>
          <w:bCs/>
          <w:sz w:val="24"/>
          <w:szCs w:val="24"/>
        </w:rPr>
      </w:pPr>
      <w:r w:rsidRPr="00004C1A">
        <w:rPr>
          <w:b/>
          <w:bCs/>
          <w:sz w:val="24"/>
          <w:szCs w:val="24"/>
        </w:rPr>
        <w:t xml:space="preserve">Wzór umowy – zad. nr </w:t>
      </w:r>
      <w:r w:rsidR="007F71FB">
        <w:rPr>
          <w:b/>
          <w:bCs/>
          <w:sz w:val="24"/>
          <w:szCs w:val="24"/>
        </w:rPr>
        <w:t>2</w:t>
      </w:r>
    </w:p>
    <w:p w14:paraId="2DF62E70" w14:textId="77777777" w:rsidR="009F193A" w:rsidRPr="00E862A3" w:rsidRDefault="009F193A" w:rsidP="009F193A">
      <w:pPr>
        <w:rPr>
          <w:bCs/>
          <w:sz w:val="24"/>
          <w:szCs w:val="24"/>
        </w:rPr>
      </w:pPr>
    </w:p>
    <w:p w14:paraId="7E3D5DBE" w14:textId="7AB45B0C" w:rsidR="009F193A" w:rsidRPr="00E862A3" w:rsidRDefault="002C5A35" w:rsidP="009F193A">
      <w:pPr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Z</w:t>
      </w:r>
      <w:r w:rsidR="009F193A" w:rsidRPr="00E862A3">
        <w:rPr>
          <w:bCs/>
          <w:sz w:val="24"/>
          <w:szCs w:val="24"/>
        </w:rPr>
        <w:t>awarta w</w:t>
      </w:r>
      <w:r w:rsidR="00E26FC6" w:rsidRPr="00E862A3">
        <w:rPr>
          <w:bCs/>
          <w:sz w:val="24"/>
          <w:szCs w:val="24"/>
        </w:rPr>
        <w:t xml:space="preserve"> Krakowie</w:t>
      </w:r>
      <w:r w:rsidR="009F193A" w:rsidRPr="00E862A3">
        <w:rPr>
          <w:bCs/>
          <w:sz w:val="24"/>
          <w:szCs w:val="24"/>
        </w:rPr>
        <w:t xml:space="preserve"> w wyniku przeprowadzonego postępowania o zamówienie publiczne w trybie </w:t>
      </w:r>
      <w:r w:rsidR="00EC016E">
        <w:rPr>
          <w:bCs/>
          <w:sz w:val="24"/>
          <w:szCs w:val="24"/>
        </w:rPr>
        <w:t>podstawowym bez negocjacji</w:t>
      </w:r>
      <w:r w:rsidR="009F193A" w:rsidRPr="00E862A3">
        <w:rPr>
          <w:bCs/>
          <w:sz w:val="24"/>
          <w:szCs w:val="24"/>
        </w:rPr>
        <w:t xml:space="preserve"> pomiędzy</w:t>
      </w:r>
      <w:r w:rsidR="0081314B" w:rsidRPr="00E862A3">
        <w:rPr>
          <w:bCs/>
          <w:sz w:val="24"/>
          <w:szCs w:val="24"/>
        </w:rPr>
        <w:t>:</w:t>
      </w:r>
    </w:p>
    <w:p w14:paraId="13425017" w14:textId="77777777" w:rsidR="009F193A" w:rsidRPr="00E862A3" w:rsidRDefault="009F193A" w:rsidP="009F193A">
      <w:pPr>
        <w:spacing w:line="240" w:lineRule="atLeast"/>
        <w:ind w:right="-47"/>
        <w:jc w:val="both"/>
        <w:outlineLvl w:val="0"/>
        <w:rPr>
          <w:b/>
          <w:sz w:val="24"/>
          <w:szCs w:val="24"/>
          <w:lang w:eastAsia="x-none"/>
        </w:rPr>
      </w:pPr>
      <w:r w:rsidRPr="00E862A3">
        <w:rPr>
          <w:b/>
          <w:sz w:val="24"/>
          <w:szCs w:val="24"/>
          <w:lang w:val="x-none" w:eastAsia="x-none"/>
        </w:rPr>
        <w:t>Akademią Górniczo-Hutniczą im. Stanisława Staszica w Krakowie AI. Mickiewicza 30</w:t>
      </w:r>
      <w:r w:rsidRPr="00E862A3">
        <w:rPr>
          <w:sz w:val="24"/>
          <w:szCs w:val="24"/>
          <w:lang w:val="x-none" w:eastAsia="x-none"/>
        </w:rPr>
        <w:t xml:space="preserve">  </w:t>
      </w:r>
      <w:r w:rsidRPr="00E862A3">
        <w:rPr>
          <w:sz w:val="24"/>
          <w:szCs w:val="24"/>
          <w:lang w:eastAsia="x-none"/>
        </w:rPr>
        <w:t>……………………………………………………</w:t>
      </w:r>
      <w:r w:rsidR="0081314B" w:rsidRPr="00E862A3">
        <w:rPr>
          <w:sz w:val="24"/>
          <w:szCs w:val="24"/>
          <w:lang w:eastAsia="x-none"/>
        </w:rPr>
        <w:t>……………………………………………</w:t>
      </w:r>
    </w:p>
    <w:p w14:paraId="720744D0" w14:textId="77777777" w:rsidR="009F193A" w:rsidRPr="00E862A3" w:rsidRDefault="009F193A" w:rsidP="009F193A">
      <w:pPr>
        <w:spacing w:line="240" w:lineRule="atLeast"/>
        <w:ind w:right="-47"/>
        <w:jc w:val="both"/>
        <w:rPr>
          <w:sz w:val="24"/>
          <w:szCs w:val="24"/>
          <w:lang w:val="x-none" w:eastAsia="x-none"/>
        </w:rPr>
      </w:pPr>
      <w:r w:rsidRPr="00E862A3">
        <w:rPr>
          <w:sz w:val="24"/>
          <w:szCs w:val="24"/>
          <w:lang w:val="x-none" w:eastAsia="x-none"/>
        </w:rPr>
        <w:t>reprezentowaną przez:</w:t>
      </w:r>
    </w:p>
    <w:p w14:paraId="1BE7E430" w14:textId="77777777" w:rsidR="009F193A" w:rsidRPr="00E862A3" w:rsidRDefault="009F193A" w:rsidP="009F193A">
      <w:pPr>
        <w:spacing w:line="240" w:lineRule="atLeast"/>
        <w:ind w:right="-47"/>
        <w:jc w:val="both"/>
        <w:rPr>
          <w:sz w:val="24"/>
          <w:szCs w:val="24"/>
          <w:lang w:eastAsia="x-none"/>
        </w:rPr>
      </w:pPr>
      <w:r w:rsidRPr="00E862A3">
        <w:rPr>
          <w:sz w:val="24"/>
          <w:szCs w:val="24"/>
          <w:lang w:val="x-none" w:eastAsia="x-none"/>
        </w:rPr>
        <w:t xml:space="preserve">1. </w:t>
      </w:r>
      <w:r w:rsidRPr="00E862A3">
        <w:rPr>
          <w:sz w:val="24"/>
          <w:szCs w:val="24"/>
          <w:lang w:eastAsia="x-none"/>
        </w:rPr>
        <w:t>………………………………………………………………………</w:t>
      </w:r>
      <w:r w:rsidR="0081314B" w:rsidRPr="00E862A3">
        <w:rPr>
          <w:sz w:val="24"/>
          <w:szCs w:val="24"/>
          <w:lang w:eastAsia="x-none"/>
        </w:rPr>
        <w:t>………………………...</w:t>
      </w:r>
    </w:p>
    <w:p w14:paraId="2A29CC65" w14:textId="77777777" w:rsidR="009F193A" w:rsidRPr="00E862A3" w:rsidRDefault="009F193A" w:rsidP="009F193A">
      <w:pPr>
        <w:jc w:val="both"/>
        <w:rPr>
          <w:sz w:val="24"/>
          <w:szCs w:val="24"/>
        </w:rPr>
      </w:pPr>
      <w:r w:rsidRPr="00E862A3">
        <w:rPr>
          <w:sz w:val="24"/>
          <w:szCs w:val="24"/>
        </w:rPr>
        <w:t>2. …………………………………………………………………………,</w:t>
      </w:r>
      <w:r w:rsidR="0081314B" w:rsidRPr="00E862A3">
        <w:rPr>
          <w:sz w:val="24"/>
          <w:szCs w:val="24"/>
        </w:rPr>
        <w:t>……………………</w:t>
      </w:r>
    </w:p>
    <w:p w14:paraId="2093190F" w14:textId="1B871C8D" w:rsidR="009F193A" w:rsidRPr="00E862A3" w:rsidRDefault="009F193A" w:rsidP="009F193A">
      <w:pPr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zwaną w dalszej części umowy „</w:t>
      </w:r>
      <w:r w:rsidRPr="00CC2602">
        <w:rPr>
          <w:b/>
          <w:sz w:val="24"/>
          <w:szCs w:val="24"/>
        </w:rPr>
        <w:t>Zamawiającym</w:t>
      </w:r>
      <w:r w:rsidRPr="00E862A3">
        <w:rPr>
          <w:bCs/>
          <w:sz w:val="24"/>
          <w:szCs w:val="24"/>
        </w:rPr>
        <w:t>"</w:t>
      </w:r>
    </w:p>
    <w:p w14:paraId="46350A2C" w14:textId="77777777" w:rsidR="009F193A" w:rsidRPr="00E862A3" w:rsidRDefault="009F193A" w:rsidP="009F193A">
      <w:pPr>
        <w:rPr>
          <w:sz w:val="24"/>
          <w:szCs w:val="24"/>
        </w:rPr>
      </w:pPr>
      <w:r w:rsidRPr="00E862A3">
        <w:rPr>
          <w:bCs/>
          <w:sz w:val="24"/>
          <w:szCs w:val="24"/>
        </w:rPr>
        <w:t xml:space="preserve">a </w:t>
      </w:r>
    </w:p>
    <w:p w14:paraId="7BD41CE3" w14:textId="77777777" w:rsidR="009F193A" w:rsidRPr="00E862A3" w:rsidRDefault="009F193A" w:rsidP="009F193A">
      <w:pPr>
        <w:rPr>
          <w:sz w:val="24"/>
          <w:szCs w:val="24"/>
        </w:rPr>
      </w:pPr>
      <w:r w:rsidRPr="00E862A3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36527AE" w14:textId="77777777" w:rsidR="009F193A" w:rsidRPr="00E862A3" w:rsidRDefault="009F193A" w:rsidP="009F193A">
      <w:pPr>
        <w:jc w:val="both"/>
        <w:rPr>
          <w:sz w:val="24"/>
          <w:szCs w:val="24"/>
        </w:rPr>
      </w:pPr>
      <w:r w:rsidRPr="00E862A3">
        <w:rPr>
          <w:bCs/>
          <w:sz w:val="24"/>
          <w:szCs w:val="24"/>
        </w:rPr>
        <w:t>reprezentowanym przez :</w:t>
      </w:r>
      <w:r w:rsidRPr="00E862A3">
        <w:rPr>
          <w:sz w:val="24"/>
          <w:szCs w:val="24"/>
        </w:rPr>
        <w:t xml:space="preserve"> </w:t>
      </w:r>
    </w:p>
    <w:p w14:paraId="2AAFF163" w14:textId="77777777" w:rsidR="009F193A" w:rsidRPr="00E862A3" w:rsidRDefault="009F193A" w:rsidP="009F193A">
      <w:pPr>
        <w:jc w:val="both"/>
        <w:rPr>
          <w:bCs/>
          <w:sz w:val="24"/>
          <w:szCs w:val="24"/>
        </w:rPr>
      </w:pPr>
      <w:r w:rsidRPr="00E862A3">
        <w:rPr>
          <w:sz w:val="24"/>
          <w:szCs w:val="24"/>
        </w:rPr>
        <w:t>…………………………………………………………………………</w:t>
      </w:r>
      <w:r w:rsidR="0081314B" w:rsidRPr="00E862A3">
        <w:rPr>
          <w:sz w:val="24"/>
          <w:szCs w:val="24"/>
        </w:rPr>
        <w:t>……………………..</w:t>
      </w:r>
    </w:p>
    <w:p w14:paraId="3ACC3F21" w14:textId="77777777" w:rsidR="009F193A" w:rsidRPr="00E862A3" w:rsidRDefault="009F193A" w:rsidP="009F193A">
      <w:pPr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zwanym w dalszej części umowy : „</w:t>
      </w:r>
      <w:r w:rsidRPr="00CC2602">
        <w:rPr>
          <w:b/>
          <w:sz w:val="24"/>
          <w:szCs w:val="24"/>
        </w:rPr>
        <w:t>Dostawcą</w:t>
      </w:r>
      <w:r w:rsidRPr="00E862A3">
        <w:rPr>
          <w:bCs/>
          <w:sz w:val="24"/>
          <w:szCs w:val="24"/>
        </w:rPr>
        <w:t>"</w:t>
      </w:r>
    </w:p>
    <w:p w14:paraId="489E9880" w14:textId="77777777" w:rsidR="009F193A" w:rsidRPr="00E862A3" w:rsidRDefault="009F193A" w:rsidP="009F193A">
      <w:pPr>
        <w:jc w:val="both"/>
        <w:rPr>
          <w:sz w:val="24"/>
          <w:szCs w:val="24"/>
        </w:rPr>
      </w:pPr>
    </w:p>
    <w:p w14:paraId="37B311E9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1</w:t>
      </w:r>
    </w:p>
    <w:p w14:paraId="6BC2E950" w14:textId="02400051" w:rsidR="009F193A" w:rsidRPr="00E862A3" w:rsidRDefault="009F193A" w:rsidP="009F193A">
      <w:pPr>
        <w:numPr>
          <w:ilvl w:val="0"/>
          <w:numId w:val="5"/>
        </w:numPr>
        <w:spacing w:before="120" w:after="120"/>
        <w:contextualSpacing/>
        <w:jc w:val="both"/>
        <w:rPr>
          <w:sz w:val="24"/>
          <w:szCs w:val="24"/>
        </w:rPr>
      </w:pPr>
      <w:r w:rsidRPr="00E862A3">
        <w:rPr>
          <w:sz w:val="24"/>
          <w:szCs w:val="24"/>
        </w:rPr>
        <w:t>Przedmiotem umowy jest dostęp do czasopism zagranicznych wydawnictwa Trans Tech Publications  w formie dostępu online dla nieograniczonej liczby użytkowników.</w:t>
      </w:r>
    </w:p>
    <w:p w14:paraId="2F7DA1D1" w14:textId="6C58DD45" w:rsidR="009F193A" w:rsidRPr="00E862A3" w:rsidRDefault="009F193A" w:rsidP="009F193A">
      <w:pPr>
        <w:numPr>
          <w:ilvl w:val="0"/>
          <w:numId w:val="5"/>
        </w:numPr>
        <w:spacing w:before="120" w:after="120"/>
        <w:contextualSpacing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Dostawca oświadcza, że jest przedstawicielem </w:t>
      </w:r>
      <w:proofErr w:type="spellStart"/>
      <w:r w:rsidRPr="00E862A3">
        <w:rPr>
          <w:sz w:val="24"/>
          <w:szCs w:val="24"/>
        </w:rPr>
        <w:t>TransTech</w:t>
      </w:r>
      <w:proofErr w:type="spellEnd"/>
      <w:r w:rsidRPr="00E862A3">
        <w:rPr>
          <w:sz w:val="24"/>
          <w:szCs w:val="24"/>
        </w:rPr>
        <w:t xml:space="preserve"> Publications LTD, upoważnionym do sprzedaży przedmiotu umowy, na dowód czego przedstawia oświadczenie wydawcy zawarte w załączniku 2.</w:t>
      </w:r>
    </w:p>
    <w:p w14:paraId="01B59D3B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2</w:t>
      </w:r>
    </w:p>
    <w:p w14:paraId="2F5D8CCB" w14:textId="51387231" w:rsidR="009F193A" w:rsidRPr="00E862A3" w:rsidRDefault="009F193A" w:rsidP="00CC2602">
      <w:pPr>
        <w:ind w:firstLine="284"/>
        <w:jc w:val="both"/>
        <w:rPr>
          <w:sz w:val="24"/>
          <w:szCs w:val="24"/>
        </w:rPr>
      </w:pPr>
      <w:r w:rsidRPr="00E862A3">
        <w:rPr>
          <w:bCs/>
          <w:sz w:val="24"/>
          <w:szCs w:val="24"/>
        </w:rPr>
        <w:t>Umowa zostaje zawarta na okres</w:t>
      </w:r>
      <w:r w:rsidR="0081314B" w:rsidRPr="00E862A3">
        <w:rPr>
          <w:sz w:val="24"/>
          <w:szCs w:val="24"/>
        </w:rPr>
        <w:t xml:space="preserve"> od ………………………..  do 31 grudnia 202</w:t>
      </w:r>
      <w:r w:rsidR="007F71FB">
        <w:rPr>
          <w:sz w:val="24"/>
          <w:szCs w:val="24"/>
        </w:rPr>
        <w:t>3</w:t>
      </w:r>
      <w:r w:rsidR="000E7BE9">
        <w:rPr>
          <w:sz w:val="24"/>
          <w:szCs w:val="24"/>
        </w:rPr>
        <w:t xml:space="preserve"> </w:t>
      </w:r>
      <w:r w:rsidRPr="00E862A3">
        <w:rPr>
          <w:sz w:val="24"/>
          <w:szCs w:val="24"/>
        </w:rPr>
        <w:t>r.</w:t>
      </w:r>
    </w:p>
    <w:p w14:paraId="32EF0F9B" w14:textId="77777777" w:rsidR="009F193A" w:rsidRPr="00E862A3" w:rsidRDefault="009F193A" w:rsidP="009F193A">
      <w:pPr>
        <w:jc w:val="both"/>
        <w:rPr>
          <w:sz w:val="24"/>
          <w:szCs w:val="24"/>
        </w:rPr>
      </w:pPr>
    </w:p>
    <w:p w14:paraId="18367F35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3</w:t>
      </w:r>
    </w:p>
    <w:p w14:paraId="7DBADC2E" w14:textId="79A50A7A" w:rsidR="009F193A" w:rsidRPr="00E862A3" w:rsidRDefault="009F193A" w:rsidP="00CC2602">
      <w:pPr>
        <w:ind w:left="284" w:hanging="426"/>
        <w:jc w:val="both"/>
        <w:rPr>
          <w:sz w:val="24"/>
          <w:szCs w:val="24"/>
        </w:rPr>
      </w:pPr>
      <w:r w:rsidRPr="00E862A3">
        <w:rPr>
          <w:sz w:val="24"/>
          <w:szCs w:val="24"/>
        </w:rPr>
        <w:t>1.</w:t>
      </w:r>
      <w:r w:rsidR="00CC2602">
        <w:rPr>
          <w:sz w:val="24"/>
          <w:szCs w:val="24"/>
        </w:rPr>
        <w:t xml:space="preserve">  </w:t>
      </w:r>
      <w:r w:rsidRPr="00E862A3">
        <w:rPr>
          <w:b/>
          <w:bCs/>
          <w:sz w:val="24"/>
          <w:szCs w:val="24"/>
        </w:rPr>
        <w:t>Cenę netto</w:t>
      </w:r>
      <w:r w:rsidRPr="00E862A3">
        <w:rPr>
          <w:bCs/>
          <w:sz w:val="24"/>
          <w:szCs w:val="24"/>
        </w:rPr>
        <w:t xml:space="preserve"> </w:t>
      </w:r>
      <w:r w:rsidRPr="00E862A3">
        <w:rPr>
          <w:sz w:val="24"/>
          <w:szCs w:val="24"/>
        </w:rPr>
        <w:t>za przedmiot umowy szczegółowo określony w § 1 S</w:t>
      </w:r>
      <w:r w:rsidRPr="00E862A3">
        <w:rPr>
          <w:bCs/>
          <w:sz w:val="24"/>
          <w:szCs w:val="24"/>
        </w:rPr>
        <w:t>trony ustaliły na kwotę ………………… EURO /słownie: ………………../</w:t>
      </w:r>
    </w:p>
    <w:p w14:paraId="049DDF4E" w14:textId="4B8FE26E" w:rsidR="009F193A" w:rsidRPr="00E862A3" w:rsidRDefault="009F193A" w:rsidP="00CC2602">
      <w:pPr>
        <w:ind w:left="284" w:right="-37" w:hanging="426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 xml:space="preserve">2. </w:t>
      </w:r>
      <w:r w:rsidR="00CC2602">
        <w:rPr>
          <w:bCs/>
          <w:sz w:val="24"/>
          <w:szCs w:val="24"/>
        </w:rPr>
        <w:t xml:space="preserve"> </w:t>
      </w:r>
      <w:r w:rsidRPr="00E862A3">
        <w:rPr>
          <w:b/>
          <w:sz w:val="24"/>
          <w:szCs w:val="24"/>
        </w:rPr>
        <w:t>Cenę brutto</w:t>
      </w:r>
      <w:r w:rsidRPr="00E862A3">
        <w:rPr>
          <w:sz w:val="24"/>
          <w:szCs w:val="24"/>
        </w:rPr>
        <w:t xml:space="preserve"> za przedmiot umowy szczegółowo określony w § 1 </w:t>
      </w:r>
      <w:r w:rsidRPr="00E862A3">
        <w:rPr>
          <w:bCs/>
          <w:sz w:val="24"/>
          <w:szCs w:val="24"/>
        </w:rPr>
        <w:t>strony ustaliły na kwotę …………. EURO</w:t>
      </w:r>
      <w:r w:rsidRPr="00E862A3">
        <w:rPr>
          <w:sz w:val="24"/>
          <w:szCs w:val="24"/>
        </w:rPr>
        <w:t xml:space="preserve">  /słownie: ……………………/</w:t>
      </w:r>
    </w:p>
    <w:p w14:paraId="378C59ED" w14:textId="0563C3BE" w:rsidR="009F193A" w:rsidRPr="00E862A3" w:rsidRDefault="009F193A" w:rsidP="00CC2602">
      <w:pPr>
        <w:ind w:left="284" w:hanging="426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 xml:space="preserve">3. </w:t>
      </w:r>
      <w:r w:rsidR="00CC2602">
        <w:rPr>
          <w:bCs/>
          <w:sz w:val="24"/>
          <w:szCs w:val="24"/>
        </w:rPr>
        <w:t xml:space="preserve">   </w:t>
      </w:r>
      <w:r w:rsidRPr="00E862A3">
        <w:rPr>
          <w:bCs/>
          <w:sz w:val="24"/>
          <w:szCs w:val="24"/>
        </w:rPr>
        <w:t xml:space="preserve">Zamawiający uiści należność  wskazaną w ust. 2 po przeliczeniu na PLN wg średniego kursu NBP ogłoszonego na ostatni dzień roboczy poprzedzający dzień wystawienia faktury. </w:t>
      </w:r>
    </w:p>
    <w:p w14:paraId="1E62A17B" w14:textId="5F58F9D5" w:rsidR="009F193A" w:rsidRPr="00E862A3" w:rsidRDefault="009F193A" w:rsidP="00CC2602">
      <w:pPr>
        <w:ind w:left="284" w:hanging="426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 xml:space="preserve">4. </w:t>
      </w:r>
      <w:r w:rsidR="00CC2602">
        <w:rPr>
          <w:bCs/>
          <w:sz w:val="24"/>
          <w:szCs w:val="24"/>
        </w:rPr>
        <w:t xml:space="preserve">   </w:t>
      </w:r>
      <w:r w:rsidRPr="00E862A3">
        <w:rPr>
          <w:bCs/>
          <w:sz w:val="24"/>
          <w:szCs w:val="24"/>
        </w:rPr>
        <w:t>Wszelkie opłaty związane z dostarczeniem przedmiotu umowy ponosi Dostawca.</w:t>
      </w:r>
    </w:p>
    <w:p w14:paraId="48D9B0FE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</w:p>
    <w:p w14:paraId="6267DAC9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4</w:t>
      </w:r>
    </w:p>
    <w:p w14:paraId="45413B0B" w14:textId="737547DA" w:rsidR="009F193A" w:rsidRPr="00E862A3" w:rsidRDefault="009F193A" w:rsidP="00CC2602">
      <w:pPr>
        <w:numPr>
          <w:ilvl w:val="0"/>
          <w:numId w:val="6"/>
        </w:numPr>
        <w:ind w:right="-37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Dostawca daje dostęp do bazy dla nieograniczonej liczby użytkowników.</w:t>
      </w:r>
    </w:p>
    <w:p w14:paraId="7282EFA8" w14:textId="07A0F4EB" w:rsidR="009F193A" w:rsidRPr="00E862A3" w:rsidRDefault="009F193A" w:rsidP="00CC2602">
      <w:pPr>
        <w:numPr>
          <w:ilvl w:val="0"/>
          <w:numId w:val="6"/>
        </w:numPr>
        <w:ind w:right="-37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Dostawca zapewni możliwość sporządzania miesięcznych zbiorczych analiz statystycznych dotyczących korzystania z bazy i jej wykorzystania przez Zamawiającego.</w:t>
      </w:r>
    </w:p>
    <w:p w14:paraId="2430F7FE" w14:textId="44E0961D" w:rsidR="009F193A" w:rsidRPr="00E862A3" w:rsidRDefault="009F193A" w:rsidP="00CC2602">
      <w:pPr>
        <w:numPr>
          <w:ilvl w:val="0"/>
          <w:numId w:val="6"/>
        </w:numPr>
        <w:ind w:right="-37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Dostawca zapewni i użytkownicy będą uprawnieni do nieograniczonego:</w:t>
      </w:r>
      <w:r w:rsidRPr="00E862A3">
        <w:rPr>
          <w:bCs/>
          <w:sz w:val="24"/>
          <w:szCs w:val="24"/>
        </w:rPr>
        <w:br/>
        <w:t>-czytania,</w:t>
      </w:r>
      <w:r w:rsidRPr="00E862A3">
        <w:rPr>
          <w:bCs/>
          <w:sz w:val="24"/>
          <w:szCs w:val="24"/>
        </w:rPr>
        <w:br/>
        <w:t>-kopiowania,</w:t>
      </w:r>
      <w:r w:rsidRPr="00E862A3">
        <w:rPr>
          <w:bCs/>
          <w:sz w:val="24"/>
          <w:szCs w:val="24"/>
        </w:rPr>
        <w:br/>
        <w:t xml:space="preserve">-drukowania plików niezbędnych do pracy naukowej lub dydaktycznej </w:t>
      </w:r>
    </w:p>
    <w:p w14:paraId="05A69DC6" w14:textId="76EBBFF5" w:rsidR="009F193A" w:rsidRPr="00E862A3" w:rsidRDefault="009F193A" w:rsidP="00CC2602">
      <w:pPr>
        <w:numPr>
          <w:ilvl w:val="0"/>
          <w:numId w:val="6"/>
        </w:numPr>
        <w:ind w:right="-37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Wszelkie reklamacje związane z jakimikolwiek utrudnieniami z dostępem do bazy powstałymi z winy Dostawcy są załatwiane niezwłocznie po zgłoszeniu przez Zamawiającego, jednakże nie później niż w terminie 48 godzin.</w:t>
      </w:r>
    </w:p>
    <w:p w14:paraId="63FF67E1" w14:textId="45A1C1D9" w:rsidR="009F193A" w:rsidRPr="00E862A3" w:rsidRDefault="009F193A" w:rsidP="009F193A">
      <w:pPr>
        <w:numPr>
          <w:ilvl w:val="0"/>
          <w:numId w:val="6"/>
        </w:numPr>
        <w:ind w:left="142" w:right="-37" w:hanging="284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W przypadku braku dostępu do bazy powyżej 48 godzin z przyczyn niezależnych od Zamawiającego, Dostawca zapłaci Zamawiającemu karę umowną w wysokości 0,25% wartości umowy za każdy dzień braku dostępu.</w:t>
      </w:r>
    </w:p>
    <w:p w14:paraId="5841105B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</w:p>
    <w:p w14:paraId="531D694B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lastRenderedPageBreak/>
        <w:t>§ 5</w:t>
      </w:r>
    </w:p>
    <w:p w14:paraId="2A5D5437" w14:textId="69966E2F" w:rsidR="009F193A" w:rsidRPr="00E862A3" w:rsidRDefault="009F193A" w:rsidP="009F193A">
      <w:pPr>
        <w:numPr>
          <w:ilvl w:val="0"/>
          <w:numId w:val="7"/>
        </w:numPr>
        <w:ind w:left="142" w:right="-37" w:hanging="284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W okresie obowiązywania niniejszej umowy Zamawiający, upoważnione Instytucje i ich autorzy będą mieć prawo do bezpłatnego przechowywania artykułów zawartych w Materiałach Licencjonowanych (w formie opublikowanej  przez wydawcę (np.  PDF)) w repozytorium (instytucjonalnym lub dotyczącym konkretnej dyscypliny) według wyboru oraz do udostępniania ich na zasadach Open Access.</w:t>
      </w:r>
    </w:p>
    <w:p w14:paraId="59748005" w14:textId="4B0DDE6F" w:rsidR="009F193A" w:rsidRPr="00E862A3" w:rsidRDefault="009F193A" w:rsidP="009F193A">
      <w:pPr>
        <w:numPr>
          <w:ilvl w:val="0"/>
          <w:numId w:val="7"/>
        </w:numPr>
        <w:ind w:left="142" w:right="-37" w:hanging="284"/>
        <w:jc w:val="both"/>
        <w:rPr>
          <w:bCs/>
          <w:sz w:val="24"/>
          <w:szCs w:val="24"/>
        </w:rPr>
      </w:pPr>
      <w:r w:rsidRPr="00E862A3">
        <w:rPr>
          <w:bCs/>
          <w:sz w:val="24"/>
          <w:szCs w:val="24"/>
        </w:rPr>
        <w:t>Po wygaśnięciu prenumeraty Zamawiający zachowuje dostęp online do roczników opłaconych/prenumerowanych.</w:t>
      </w:r>
    </w:p>
    <w:p w14:paraId="46EEF1A8" w14:textId="77777777" w:rsidR="00890590" w:rsidRDefault="00890590" w:rsidP="009F193A">
      <w:pPr>
        <w:jc w:val="center"/>
        <w:rPr>
          <w:b/>
          <w:sz w:val="24"/>
          <w:szCs w:val="24"/>
        </w:rPr>
      </w:pPr>
    </w:p>
    <w:p w14:paraId="656028F0" w14:textId="4D3009A6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6</w:t>
      </w:r>
    </w:p>
    <w:p w14:paraId="350F7952" w14:textId="77777777" w:rsidR="009F193A" w:rsidRPr="00E862A3" w:rsidRDefault="009F193A" w:rsidP="00890590">
      <w:pPr>
        <w:numPr>
          <w:ilvl w:val="0"/>
          <w:numId w:val="8"/>
        </w:numPr>
        <w:tabs>
          <w:tab w:val="left" w:pos="284"/>
        </w:tabs>
        <w:ind w:left="180" w:hanging="322"/>
        <w:jc w:val="both"/>
        <w:rPr>
          <w:strike/>
          <w:sz w:val="24"/>
          <w:szCs w:val="24"/>
        </w:rPr>
      </w:pPr>
      <w:r w:rsidRPr="00E862A3">
        <w:rPr>
          <w:sz w:val="24"/>
          <w:szCs w:val="24"/>
        </w:rPr>
        <w:t>Należność, o której mowa w § 3 będzie uregulowana przez Zamawiającego w terminie 21 dni od dnia otrzymania faktury  wystawionej przez Dostawcę.</w:t>
      </w:r>
    </w:p>
    <w:p w14:paraId="7BB64807" w14:textId="73A872B4" w:rsidR="000E7BE9" w:rsidRDefault="009F193A" w:rsidP="00890590">
      <w:pPr>
        <w:numPr>
          <w:ilvl w:val="0"/>
          <w:numId w:val="8"/>
        </w:numPr>
        <w:tabs>
          <w:tab w:val="left" w:pos="284"/>
        </w:tabs>
        <w:ind w:left="180" w:hanging="322"/>
        <w:jc w:val="both"/>
        <w:rPr>
          <w:sz w:val="24"/>
          <w:szCs w:val="24"/>
        </w:rPr>
      </w:pPr>
      <w:r w:rsidRPr="000E7BE9">
        <w:rPr>
          <w:sz w:val="24"/>
          <w:szCs w:val="24"/>
        </w:rPr>
        <w:t xml:space="preserve">Strony uzgodniły, że zapłata należności będzie dokonana w formie przelewu </w:t>
      </w:r>
      <w:r w:rsidR="000E7BE9" w:rsidRPr="000E7BE9">
        <w:rPr>
          <w:sz w:val="24"/>
          <w:szCs w:val="24"/>
        </w:rPr>
        <w:t xml:space="preserve">w terminie do 21 dni od daty otrzymania faktury przez Zamawiającego na rachunek </w:t>
      </w:r>
      <w:r w:rsidR="00890590">
        <w:rPr>
          <w:sz w:val="24"/>
          <w:szCs w:val="24"/>
        </w:rPr>
        <w:t>Dostawcy</w:t>
      </w:r>
      <w:r w:rsidR="000E7BE9" w:rsidRPr="000E7BE9">
        <w:rPr>
          <w:sz w:val="24"/>
          <w:szCs w:val="24"/>
        </w:rPr>
        <w:t xml:space="preserve"> zawarty na dzień zlecenia przelewu w wykazie podmiotów, o których mowa w art. 96b ust. 1) Ustawy o podatku od towarów i usług</w:t>
      </w:r>
    </w:p>
    <w:p w14:paraId="0B60E540" w14:textId="6E1B2E99" w:rsidR="009F193A" w:rsidRPr="000E7BE9" w:rsidRDefault="009F193A" w:rsidP="00890590">
      <w:pPr>
        <w:numPr>
          <w:ilvl w:val="0"/>
          <w:numId w:val="8"/>
        </w:numPr>
        <w:tabs>
          <w:tab w:val="left" w:pos="284"/>
        </w:tabs>
        <w:ind w:left="180" w:hanging="322"/>
        <w:jc w:val="both"/>
        <w:rPr>
          <w:sz w:val="24"/>
          <w:szCs w:val="24"/>
        </w:rPr>
      </w:pPr>
      <w:r w:rsidRPr="000E7BE9">
        <w:rPr>
          <w:sz w:val="24"/>
          <w:szCs w:val="24"/>
        </w:rPr>
        <w:t xml:space="preserve">Strony postanawiają, że zapłata następuje w dniu obciążenia rachunku bankowego Zamawiającego. </w:t>
      </w:r>
    </w:p>
    <w:p w14:paraId="1F477822" w14:textId="77777777" w:rsidR="009F193A" w:rsidRPr="00E862A3" w:rsidRDefault="009F193A" w:rsidP="00890590">
      <w:pPr>
        <w:numPr>
          <w:ilvl w:val="0"/>
          <w:numId w:val="8"/>
        </w:numPr>
        <w:tabs>
          <w:tab w:val="left" w:pos="284"/>
        </w:tabs>
        <w:ind w:left="180" w:hanging="322"/>
        <w:jc w:val="both"/>
        <w:rPr>
          <w:sz w:val="24"/>
          <w:szCs w:val="24"/>
        </w:rPr>
      </w:pPr>
      <w:r w:rsidRPr="00E862A3">
        <w:rPr>
          <w:sz w:val="24"/>
          <w:szCs w:val="24"/>
        </w:rPr>
        <w:t>W przypadku nieterminowej płatności należności Dostawca ma prawo naliczyć Zamawiającemu odsetki ustawowe za każdy dzień zwłoki.</w:t>
      </w:r>
    </w:p>
    <w:p w14:paraId="1D7B590A" w14:textId="77777777" w:rsidR="00890590" w:rsidRDefault="00890590" w:rsidP="009F193A">
      <w:pPr>
        <w:jc w:val="center"/>
        <w:rPr>
          <w:b/>
          <w:sz w:val="24"/>
          <w:szCs w:val="24"/>
        </w:rPr>
      </w:pPr>
    </w:p>
    <w:p w14:paraId="13D86674" w14:textId="20454BD8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7</w:t>
      </w:r>
    </w:p>
    <w:p w14:paraId="6FDF2929" w14:textId="77777777" w:rsidR="009F193A" w:rsidRPr="00E862A3" w:rsidRDefault="009F193A" w:rsidP="00890590">
      <w:pPr>
        <w:numPr>
          <w:ilvl w:val="0"/>
          <w:numId w:val="9"/>
        </w:numPr>
        <w:tabs>
          <w:tab w:val="num" w:pos="180"/>
        </w:tabs>
        <w:ind w:left="180" w:hanging="322"/>
        <w:jc w:val="both"/>
        <w:rPr>
          <w:sz w:val="24"/>
          <w:szCs w:val="24"/>
        </w:rPr>
      </w:pPr>
      <w:r w:rsidRPr="00E862A3">
        <w:rPr>
          <w:sz w:val="24"/>
          <w:szCs w:val="24"/>
        </w:rPr>
        <w:t>Strony ustanawiają odpowiedzialność za niewykonanie lub nienależyte wykonanie umowy w formie kar umownych.</w:t>
      </w:r>
    </w:p>
    <w:p w14:paraId="5F3AEC80" w14:textId="77777777" w:rsidR="009F193A" w:rsidRPr="00E862A3" w:rsidRDefault="009F193A" w:rsidP="00890590">
      <w:pPr>
        <w:numPr>
          <w:ilvl w:val="0"/>
          <w:numId w:val="9"/>
        </w:numPr>
        <w:tabs>
          <w:tab w:val="num" w:pos="180"/>
        </w:tabs>
        <w:ind w:left="180" w:hanging="322"/>
        <w:jc w:val="both"/>
        <w:rPr>
          <w:sz w:val="24"/>
          <w:szCs w:val="24"/>
        </w:rPr>
      </w:pPr>
      <w:r w:rsidRPr="00E862A3">
        <w:rPr>
          <w:sz w:val="24"/>
          <w:szCs w:val="24"/>
        </w:rPr>
        <w:t>Dostawca zapłaci Zamawiającemu  kary umowne:</w:t>
      </w:r>
    </w:p>
    <w:p w14:paraId="728FC5D6" w14:textId="5D5C9284" w:rsidR="009F193A" w:rsidRPr="00E862A3" w:rsidRDefault="00890590" w:rsidP="00890590">
      <w:pPr>
        <w:ind w:left="142" w:hanging="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193A" w:rsidRPr="00E862A3">
        <w:rPr>
          <w:sz w:val="24"/>
          <w:szCs w:val="24"/>
        </w:rPr>
        <w:t>a/ z tytułu odstąpienia od umowy z przyczyn występujących po stronie Dostawcy w wysokości 10% wynagrodzenia określonego w § 3 pkt.1.</w:t>
      </w:r>
    </w:p>
    <w:p w14:paraId="10A58CB2" w14:textId="77777777" w:rsidR="009F193A" w:rsidRPr="00E862A3" w:rsidRDefault="009F193A" w:rsidP="00890590">
      <w:pPr>
        <w:numPr>
          <w:ilvl w:val="0"/>
          <w:numId w:val="9"/>
        </w:numPr>
        <w:tabs>
          <w:tab w:val="num" w:pos="180"/>
        </w:tabs>
        <w:ind w:left="180" w:hanging="322"/>
        <w:jc w:val="both"/>
        <w:rPr>
          <w:sz w:val="24"/>
          <w:szCs w:val="24"/>
        </w:rPr>
      </w:pPr>
      <w:r w:rsidRPr="00E862A3">
        <w:rPr>
          <w:sz w:val="24"/>
          <w:szCs w:val="24"/>
        </w:rPr>
        <w:t>Zamawiający zapłaci Dostawcy  karę umowną za odstąpienie od umowy z przyczyn niezależnych od Dostawcy w wysokości 10% wynagrodzenia określonego w § 3 pkt.1.</w:t>
      </w:r>
    </w:p>
    <w:p w14:paraId="3A133625" w14:textId="6070EA10" w:rsidR="009F193A" w:rsidRDefault="009F193A" w:rsidP="00890590">
      <w:pPr>
        <w:numPr>
          <w:ilvl w:val="0"/>
          <w:numId w:val="9"/>
        </w:numPr>
        <w:tabs>
          <w:tab w:val="num" w:pos="180"/>
        </w:tabs>
        <w:ind w:left="180" w:hanging="322"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Jeżeli kary umowne nie pokryją poniesionej szkody, Strony niniejszej umowy zastrzegają sobie prawo dochodzenia odszkodowania uzupełniającego na zasadach określonych w art. 471 K.C. do wysokości poniesionej szkody. </w:t>
      </w:r>
    </w:p>
    <w:p w14:paraId="66D04C24" w14:textId="5E761DAF" w:rsidR="000E7BE9" w:rsidRPr="000E7BE9" w:rsidRDefault="000E7BE9" w:rsidP="00004C1A">
      <w:pPr>
        <w:pStyle w:val="Akapitzlist"/>
        <w:numPr>
          <w:ilvl w:val="0"/>
          <w:numId w:val="9"/>
        </w:numPr>
        <w:tabs>
          <w:tab w:val="clear" w:pos="780"/>
          <w:tab w:val="num" w:pos="142"/>
        </w:tabs>
        <w:ind w:left="142" w:hanging="284"/>
        <w:jc w:val="both"/>
        <w:rPr>
          <w:sz w:val="24"/>
          <w:szCs w:val="24"/>
        </w:rPr>
      </w:pPr>
      <w:r w:rsidRPr="000E7BE9">
        <w:rPr>
          <w:sz w:val="24"/>
          <w:szCs w:val="24"/>
        </w:rPr>
        <w:t>Łączna maksymalna wysokość kar umownych, których mogą dochodzić Strony nie może przekroczyć 20% wynagrodzenia, o którym mowa w § 3ust. 1 umowy.</w:t>
      </w:r>
    </w:p>
    <w:p w14:paraId="0E110D19" w14:textId="77777777" w:rsidR="009F193A" w:rsidRPr="00E862A3" w:rsidRDefault="009F193A" w:rsidP="009F193A">
      <w:pPr>
        <w:rPr>
          <w:sz w:val="24"/>
          <w:szCs w:val="24"/>
        </w:rPr>
      </w:pPr>
      <w:r w:rsidRPr="00E862A3">
        <w:rPr>
          <w:sz w:val="24"/>
          <w:szCs w:val="24"/>
        </w:rPr>
        <w:t xml:space="preserve">                                                               </w:t>
      </w:r>
    </w:p>
    <w:p w14:paraId="3F3041E3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8</w:t>
      </w:r>
    </w:p>
    <w:p w14:paraId="395C7815" w14:textId="77777777" w:rsidR="009F193A" w:rsidRPr="00E862A3" w:rsidRDefault="009F193A" w:rsidP="00890590">
      <w:pPr>
        <w:ind w:left="142"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Zamawiający stworzy niezbędne warunki organizacyjne umożliwiające dostęp pracownikom Dostawcy  do pomieszczeń i personelu Zamawiającego – w zakresie niezbędnym do wykonania niniejszej umowy. </w:t>
      </w:r>
    </w:p>
    <w:p w14:paraId="2B779692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9</w:t>
      </w:r>
    </w:p>
    <w:p w14:paraId="25D829D2" w14:textId="6EF00E35" w:rsidR="009F193A" w:rsidRPr="00E862A3" w:rsidRDefault="009F193A" w:rsidP="00AF5A04">
      <w:pPr>
        <w:tabs>
          <w:tab w:val="left" w:pos="142"/>
        </w:tabs>
        <w:ind w:left="142" w:hanging="284"/>
        <w:jc w:val="both"/>
        <w:rPr>
          <w:sz w:val="24"/>
          <w:szCs w:val="24"/>
        </w:rPr>
      </w:pPr>
      <w:r w:rsidRPr="00E862A3">
        <w:rPr>
          <w:sz w:val="24"/>
          <w:szCs w:val="24"/>
        </w:rPr>
        <w:t>1.</w:t>
      </w:r>
      <w:r w:rsidR="00AF5A04">
        <w:rPr>
          <w:sz w:val="24"/>
          <w:szCs w:val="24"/>
        </w:rPr>
        <w:t xml:space="preserve"> </w:t>
      </w:r>
      <w:r w:rsidR="00AF5A04">
        <w:rPr>
          <w:sz w:val="24"/>
          <w:szCs w:val="24"/>
        </w:rPr>
        <w:tab/>
      </w:r>
      <w:r w:rsidR="00890590">
        <w:rPr>
          <w:sz w:val="24"/>
          <w:szCs w:val="24"/>
        </w:rPr>
        <w:t>Dostawca</w:t>
      </w:r>
      <w:r w:rsidRPr="00E862A3">
        <w:rPr>
          <w:sz w:val="24"/>
          <w:szCs w:val="24"/>
        </w:rPr>
        <w:t xml:space="preserve">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 </w:t>
      </w:r>
    </w:p>
    <w:p w14:paraId="70C91B67" w14:textId="0A5DE811" w:rsidR="009F193A" w:rsidRPr="00E862A3" w:rsidRDefault="009F193A" w:rsidP="00AF5A04">
      <w:pPr>
        <w:ind w:left="142" w:hanging="284"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2. </w:t>
      </w:r>
      <w:r w:rsidR="00AF5A04">
        <w:rPr>
          <w:sz w:val="24"/>
          <w:szCs w:val="24"/>
        </w:rPr>
        <w:t xml:space="preserve"> </w:t>
      </w:r>
      <w:r w:rsidRPr="00E862A3">
        <w:rPr>
          <w:sz w:val="24"/>
          <w:szCs w:val="24"/>
        </w:rPr>
        <w:t xml:space="preserve">W razie wątpliwości, czy określona informacja stanowi tajemnicę </w:t>
      </w:r>
      <w:r w:rsidR="00890590">
        <w:rPr>
          <w:sz w:val="24"/>
          <w:szCs w:val="24"/>
        </w:rPr>
        <w:t>Dostawca</w:t>
      </w:r>
      <w:r w:rsidRPr="00E862A3">
        <w:rPr>
          <w:sz w:val="24"/>
          <w:szCs w:val="24"/>
        </w:rPr>
        <w:t xml:space="preserve"> zobowiązany jest zwrócić się w formie pisemnej do Zamawiającego o wyjaśnienie takiej wątpliwości. </w:t>
      </w:r>
    </w:p>
    <w:p w14:paraId="6E2D2E82" w14:textId="587CC59B" w:rsidR="009F193A" w:rsidRPr="00E862A3" w:rsidRDefault="009F193A" w:rsidP="00AF5A04">
      <w:pPr>
        <w:ind w:left="142" w:hanging="284"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3. </w:t>
      </w:r>
      <w:r w:rsidR="00AF5A04">
        <w:rPr>
          <w:sz w:val="24"/>
          <w:szCs w:val="24"/>
        </w:rPr>
        <w:t xml:space="preserve"> </w:t>
      </w:r>
      <w:r w:rsidR="00890590">
        <w:rPr>
          <w:sz w:val="24"/>
          <w:szCs w:val="24"/>
        </w:rPr>
        <w:t>Dostawca</w:t>
      </w:r>
      <w:r w:rsidRPr="00E862A3">
        <w:rPr>
          <w:sz w:val="24"/>
          <w:szCs w:val="24"/>
        </w:rPr>
        <w:t xml:space="preserve"> zobowiązuje się do wykorzystania uzyskanych, powyższych informacji jedynie w celu wykonania przedmiotu umowy. </w:t>
      </w:r>
    </w:p>
    <w:p w14:paraId="565E273D" w14:textId="366EB38E" w:rsidR="00903944" w:rsidRDefault="009F193A" w:rsidP="00AF5A04">
      <w:pPr>
        <w:ind w:left="142" w:hanging="284"/>
        <w:jc w:val="both"/>
        <w:rPr>
          <w:sz w:val="24"/>
          <w:szCs w:val="24"/>
        </w:rPr>
      </w:pPr>
      <w:r w:rsidRPr="00E862A3">
        <w:rPr>
          <w:sz w:val="24"/>
          <w:szCs w:val="24"/>
        </w:rPr>
        <w:lastRenderedPageBreak/>
        <w:t xml:space="preserve">4. </w:t>
      </w:r>
      <w:r w:rsidR="00AF5A04">
        <w:rPr>
          <w:sz w:val="24"/>
          <w:szCs w:val="24"/>
        </w:rPr>
        <w:t xml:space="preserve"> </w:t>
      </w:r>
      <w:r w:rsidR="00890590">
        <w:rPr>
          <w:sz w:val="24"/>
          <w:szCs w:val="24"/>
        </w:rPr>
        <w:t>Dostawca</w:t>
      </w:r>
      <w:r w:rsidRPr="00E862A3">
        <w:rPr>
          <w:sz w:val="24"/>
          <w:szCs w:val="24"/>
        </w:rPr>
        <w:t xml:space="preserve"> zobowiązuje się ujawnić powyższe informacje tylko tym pracownikom </w:t>
      </w:r>
      <w:r w:rsidR="00890590">
        <w:rPr>
          <w:sz w:val="24"/>
          <w:szCs w:val="24"/>
        </w:rPr>
        <w:t>Dostawcy</w:t>
      </w:r>
      <w:r w:rsidRPr="00E862A3">
        <w:rPr>
          <w:sz w:val="24"/>
          <w:szCs w:val="24"/>
        </w:rPr>
        <w:t xml:space="preserve">, wobec których ujawnienie takie będzie uzasadnione zakresem, w którym wykonują przedmiot umowy. </w:t>
      </w:r>
    </w:p>
    <w:p w14:paraId="75142C4B" w14:textId="198FE4F7" w:rsidR="009F193A" w:rsidRPr="00E862A3" w:rsidRDefault="009F193A" w:rsidP="00AF5A04">
      <w:pPr>
        <w:ind w:left="142" w:hanging="284"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5. </w:t>
      </w:r>
      <w:r w:rsidR="00AF5A04">
        <w:rPr>
          <w:sz w:val="24"/>
          <w:szCs w:val="24"/>
        </w:rPr>
        <w:t xml:space="preserve"> </w:t>
      </w:r>
      <w:r w:rsidRPr="00E862A3">
        <w:rPr>
          <w:sz w:val="24"/>
          <w:szCs w:val="24"/>
        </w:rPr>
        <w:t>Powyższe przepisy nie będą miały zastosowania wobec informacji powszechnie znanych lub opublikowanych oraz w przypadku żądania ich ujawnienia przez uprawniony organ.</w:t>
      </w:r>
    </w:p>
    <w:p w14:paraId="21F430FC" w14:textId="77777777" w:rsidR="00903944" w:rsidRDefault="00903944" w:rsidP="009F193A">
      <w:pPr>
        <w:jc w:val="center"/>
        <w:rPr>
          <w:b/>
          <w:sz w:val="24"/>
          <w:szCs w:val="24"/>
        </w:rPr>
      </w:pPr>
    </w:p>
    <w:p w14:paraId="3007F137" w14:textId="77777777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10</w:t>
      </w:r>
    </w:p>
    <w:p w14:paraId="40D07471" w14:textId="0A3A253B" w:rsidR="000E7BE9" w:rsidRPr="000E7BE9" w:rsidRDefault="009F193A" w:rsidP="00802BA9">
      <w:pPr>
        <w:tabs>
          <w:tab w:val="left" w:pos="360"/>
        </w:tabs>
        <w:ind w:hanging="142"/>
        <w:jc w:val="both"/>
        <w:rPr>
          <w:color w:val="000000"/>
          <w:kern w:val="2"/>
          <w:sz w:val="24"/>
          <w:szCs w:val="24"/>
        </w:rPr>
      </w:pPr>
      <w:r w:rsidRPr="00E862A3">
        <w:rPr>
          <w:color w:val="000000"/>
          <w:kern w:val="2"/>
          <w:sz w:val="24"/>
          <w:szCs w:val="24"/>
        </w:rPr>
        <w:t xml:space="preserve">1. </w:t>
      </w:r>
      <w:r w:rsidR="000E7BE9" w:rsidRPr="000E7BE9">
        <w:rPr>
          <w:color w:val="000000"/>
          <w:kern w:val="2"/>
          <w:sz w:val="24"/>
          <w:szCs w:val="24"/>
        </w:rPr>
        <w:t>Wszelkie zmiany umowy wymagają formy pisemnej (aneksu) pod rygorem nieważności.</w:t>
      </w:r>
    </w:p>
    <w:p w14:paraId="512FBBFA" w14:textId="3306FBDF" w:rsidR="000E7BE9" w:rsidRDefault="00802BA9" w:rsidP="00AF5A04">
      <w:pPr>
        <w:tabs>
          <w:tab w:val="left" w:pos="360"/>
        </w:tabs>
        <w:ind w:hanging="142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2</w:t>
      </w:r>
      <w:r w:rsidR="000E7BE9" w:rsidRPr="000E7BE9">
        <w:rPr>
          <w:color w:val="000000"/>
          <w:kern w:val="2"/>
          <w:sz w:val="24"/>
          <w:szCs w:val="24"/>
        </w:rPr>
        <w:t xml:space="preserve">.   Dopuszcza się następujące zmiany umowy w przypadku: </w:t>
      </w:r>
    </w:p>
    <w:p w14:paraId="7DEDBEC7" w14:textId="4DAC1629" w:rsidR="009F193A" w:rsidRPr="00E862A3" w:rsidRDefault="000E7BE9" w:rsidP="00AF5A04">
      <w:pPr>
        <w:tabs>
          <w:tab w:val="left" w:pos="360"/>
        </w:tabs>
        <w:ind w:hanging="142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a) </w:t>
      </w:r>
      <w:r w:rsidR="00AF5A04">
        <w:rPr>
          <w:color w:val="000000"/>
          <w:kern w:val="2"/>
          <w:sz w:val="24"/>
          <w:szCs w:val="24"/>
        </w:rPr>
        <w:t xml:space="preserve">  </w:t>
      </w:r>
      <w:r w:rsidR="009F193A" w:rsidRPr="00E862A3">
        <w:rPr>
          <w:b/>
          <w:color w:val="000000"/>
          <w:kern w:val="2"/>
          <w:sz w:val="24"/>
          <w:szCs w:val="24"/>
        </w:rPr>
        <w:t>terminu realizacji przedmiotu zamówienia, gdy jest ona spowodowana</w:t>
      </w:r>
      <w:r w:rsidR="009F193A" w:rsidRPr="00E862A3">
        <w:rPr>
          <w:color w:val="000000"/>
          <w:kern w:val="2"/>
          <w:sz w:val="24"/>
          <w:szCs w:val="24"/>
        </w:rPr>
        <w:t>:</w:t>
      </w:r>
    </w:p>
    <w:p w14:paraId="24BCC8D6" w14:textId="77777777" w:rsidR="009F193A" w:rsidRPr="00E862A3" w:rsidRDefault="009F193A" w:rsidP="00AF5A04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ind w:left="425" w:hanging="142"/>
        <w:jc w:val="both"/>
        <w:rPr>
          <w:color w:val="000000"/>
          <w:kern w:val="2"/>
          <w:sz w:val="24"/>
          <w:szCs w:val="24"/>
        </w:rPr>
      </w:pPr>
      <w:r w:rsidRPr="00E862A3">
        <w:rPr>
          <w:color w:val="000000"/>
          <w:kern w:val="2"/>
          <w:sz w:val="24"/>
          <w:szCs w:val="24"/>
        </w:rPr>
        <w:t xml:space="preserve"> epidemią stwierdzona przez uprawnione do tego organy lokalne lub państwowe, klęską żywiołową, strajkiem lub stanem wyjątkowym, </w:t>
      </w:r>
    </w:p>
    <w:p w14:paraId="79718CFC" w14:textId="757BD4E1" w:rsidR="009F193A" w:rsidRPr="00E862A3" w:rsidRDefault="009F193A" w:rsidP="00AF5A04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ind w:left="425" w:hanging="142"/>
        <w:jc w:val="both"/>
        <w:rPr>
          <w:color w:val="000000"/>
          <w:kern w:val="2"/>
          <w:sz w:val="24"/>
          <w:szCs w:val="24"/>
        </w:rPr>
      </w:pPr>
      <w:r w:rsidRPr="00E862A3">
        <w:rPr>
          <w:color w:val="000000"/>
          <w:kern w:val="2"/>
          <w:sz w:val="24"/>
          <w:szCs w:val="24"/>
        </w:rPr>
        <w:t xml:space="preserve"> następstwem okoliczności leżących po stronie </w:t>
      </w:r>
      <w:r w:rsidR="00004C1A">
        <w:rPr>
          <w:color w:val="000000"/>
          <w:kern w:val="2"/>
          <w:sz w:val="24"/>
          <w:szCs w:val="24"/>
        </w:rPr>
        <w:t>Zamawiającego</w:t>
      </w:r>
      <w:r w:rsidRPr="00E862A3">
        <w:rPr>
          <w:color w:val="000000"/>
          <w:kern w:val="2"/>
          <w:sz w:val="24"/>
          <w:szCs w:val="24"/>
        </w:rPr>
        <w:t xml:space="preserve"> lub przeszkodami dającymi się przypisać </w:t>
      </w:r>
      <w:r w:rsidR="00004C1A">
        <w:rPr>
          <w:color w:val="000000"/>
          <w:kern w:val="2"/>
          <w:sz w:val="24"/>
          <w:szCs w:val="24"/>
        </w:rPr>
        <w:t>Zamawiającemu</w:t>
      </w:r>
      <w:r w:rsidRPr="00E862A3">
        <w:rPr>
          <w:color w:val="000000"/>
          <w:kern w:val="2"/>
          <w:sz w:val="24"/>
          <w:szCs w:val="24"/>
        </w:rPr>
        <w:t xml:space="preserve">, </w:t>
      </w:r>
    </w:p>
    <w:p w14:paraId="143A982F" w14:textId="77777777" w:rsidR="009F193A" w:rsidRPr="00E862A3" w:rsidRDefault="009F193A" w:rsidP="00AF5A04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ind w:left="425" w:hanging="142"/>
        <w:jc w:val="both"/>
        <w:rPr>
          <w:color w:val="000000"/>
          <w:kern w:val="2"/>
          <w:sz w:val="24"/>
          <w:szCs w:val="24"/>
        </w:rPr>
      </w:pPr>
      <w:r w:rsidRPr="00E862A3">
        <w:rPr>
          <w:color w:val="000000"/>
          <w:kern w:val="2"/>
          <w:sz w:val="24"/>
          <w:szCs w:val="24"/>
        </w:rPr>
        <w:t xml:space="preserve"> następstwem wprowadzania zmian w obowiązujących przepisach prawnych mających wpływ na realizację przedmiotu zamówienia;</w:t>
      </w:r>
    </w:p>
    <w:p w14:paraId="26ED07A3" w14:textId="0028478A" w:rsidR="009F193A" w:rsidRPr="00E862A3" w:rsidRDefault="009F193A" w:rsidP="00AF5A04">
      <w:pPr>
        <w:tabs>
          <w:tab w:val="left" w:pos="360"/>
          <w:tab w:val="num" w:pos="426"/>
        </w:tabs>
        <w:ind w:left="425" w:hanging="567"/>
        <w:jc w:val="both"/>
        <w:rPr>
          <w:color w:val="000000"/>
          <w:kern w:val="2"/>
          <w:sz w:val="24"/>
          <w:szCs w:val="24"/>
        </w:rPr>
      </w:pPr>
      <w:r w:rsidRPr="00E862A3">
        <w:rPr>
          <w:color w:val="000000"/>
          <w:kern w:val="2"/>
          <w:sz w:val="24"/>
          <w:szCs w:val="24"/>
        </w:rPr>
        <w:t>b)</w:t>
      </w:r>
      <w:r w:rsidRPr="00E862A3">
        <w:rPr>
          <w:b/>
          <w:color w:val="000000"/>
          <w:kern w:val="2"/>
          <w:sz w:val="24"/>
          <w:szCs w:val="24"/>
        </w:rPr>
        <w:t xml:space="preserve"> </w:t>
      </w:r>
      <w:r w:rsidR="00AF5A04">
        <w:rPr>
          <w:b/>
          <w:color w:val="000000"/>
          <w:kern w:val="2"/>
          <w:sz w:val="24"/>
          <w:szCs w:val="24"/>
        </w:rPr>
        <w:t xml:space="preserve"> </w:t>
      </w:r>
      <w:r w:rsidRPr="00E862A3">
        <w:rPr>
          <w:b/>
          <w:color w:val="000000"/>
          <w:kern w:val="2"/>
          <w:sz w:val="24"/>
          <w:szCs w:val="24"/>
        </w:rPr>
        <w:t>wysokości wynagrodzenia w przypadku</w:t>
      </w:r>
      <w:r w:rsidRPr="00E862A3">
        <w:rPr>
          <w:color w:val="000000"/>
          <w:kern w:val="2"/>
          <w:sz w:val="24"/>
          <w:szCs w:val="24"/>
        </w:rPr>
        <w:t>:</w:t>
      </w:r>
    </w:p>
    <w:p w14:paraId="6E4AB368" w14:textId="3C81F334" w:rsidR="009F193A" w:rsidRPr="00E862A3" w:rsidRDefault="009F193A" w:rsidP="00AF5A04">
      <w:pPr>
        <w:tabs>
          <w:tab w:val="left" w:pos="360"/>
          <w:tab w:val="num" w:pos="426"/>
          <w:tab w:val="num" w:pos="1440"/>
        </w:tabs>
        <w:ind w:left="425" w:hanging="142"/>
        <w:jc w:val="both"/>
        <w:rPr>
          <w:color w:val="000000"/>
          <w:kern w:val="2"/>
          <w:sz w:val="24"/>
          <w:szCs w:val="24"/>
        </w:rPr>
      </w:pPr>
      <w:r w:rsidRPr="00E862A3">
        <w:rPr>
          <w:color w:val="000000"/>
          <w:kern w:val="2"/>
          <w:sz w:val="24"/>
          <w:szCs w:val="24"/>
        </w:rPr>
        <w:t xml:space="preserve">- </w:t>
      </w:r>
      <w:r w:rsidRPr="00E862A3">
        <w:rPr>
          <w:color w:val="000000"/>
          <w:kern w:val="2"/>
          <w:sz w:val="24"/>
          <w:szCs w:val="24"/>
        </w:rPr>
        <w:tab/>
        <w:t xml:space="preserve">zmiany stawki podatku VAT, w odniesieniu do tej części wynagrodzenia, której zmiana  dotyczy, pod warunkiem, że wskazane zmiany nie spowodują zwiększenia ceny ofertowej, </w:t>
      </w:r>
    </w:p>
    <w:p w14:paraId="42D189A7" w14:textId="258824E7" w:rsidR="009F193A" w:rsidRPr="00E862A3" w:rsidRDefault="009F193A" w:rsidP="00AF5A04">
      <w:pPr>
        <w:tabs>
          <w:tab w:val="left" w:pos="360"/>
          <w:tab w:val="num" w:pos="426"/>
          <w:tab w:val="num" w:pos="1440"/>
        </w:tabs>
        <w:ind w:left="425" w:hanging="142"/>
        <w:jc w:val="both"/>
        <w:rPr>
          <w:b/>
          <w:color w:val="000000"/>
          <w:kern w:val="2"/>
          <w:sz w:val="24"/>
          <w:szCs w:val="24"/>
        </w:rPr>
      </w:pPr>
      <w:r w:rsidRPr="00E862A3">
        <w:rPr>
          <w:b/>
          <w:color w:val="000000"/>
          <w:kern w:val="2"/>
          <w:sz w:val="24"/>
          <w:szCs w:val="24"/>
        </w:rPr>
        <w:t xml:space="preserve">-  </w:t>
      </w:r>
      <w:r w:rsidRPr="00E862A3">
        <w:rPr>
          <w:color w:val="000000"/>
          <w:kern w:val="2"/>
          <w:sz w:val="24"/>
          <w:szCs w:val="24"/>
        </w:rPr>
        <w:t>ograniczenia zakresu prac objętych niniejszą umową w przypadku stwierdzenia braku konieczności wykonywania części zamówienia,</w:t>
      </w:r>
    </w:p>
    <w:p w14:paraId="7B9AA2A8" w14:textId="74F52F75" w:rsidR="009F193A" w:rsidRPr="00E862A3" w:rsidRDefault="009F193A" w:rsidP="00AF5A04">
      <w:pPr>
        <w:tabs>
          <w:tab w:val="num" w:pos="142"/>
          <w:tab w:val="num" w:pos="1440"/>
        </w:tabs>
        <w:ind w:left="142" w:hanging="284"/>
        <w:jc w:val="both"/>
        <w:rPr>
          <w:sz w:val="24"/>
          <w:szCs w:val="24"/>
        </w:rPr>
      </w:pPr>
      <w:r w:rsidRPr="00E862A3">
        <w:rPr>
          <w:sz w:val="24"/>
          <w:szCs w:val="24"/>
        </w:rPr>
        <w:t xml:space="preserve">c) </w:t>
      </w:r>
      <w:r w:rsidR="00AF5A04">
        <w:rPr>
          <w:sz w:val="24"/>
          <w:szCs w:val="24"/>
        </w:rPr>
        <w:t xml:space="preserve"> </w:t>
      </w:r>
      <w:r w:rsidRPr="00E862A3">
        <w:rPr>
          <w:sz w:val="24"/>
          <w:szCs w:val="24"/>
        </w:rPr>
        <w:t>zmiany części zamówienia powierzonej podwykonawcy w przypadku,  gdy wprowadzenie nowego podwykonawcy zapewni lepszą realizację danej części zamówienia.</w:t>
      </w:r>
    </w:p>
    <w:p w14:paraId="765F02CF" w14:textId="4B1CE6FE" w:rsidR="009F193A" w:rsidRPr="00E862A3" w:rsidRDefault="00802BA9" w:rsidP="00AF5A04">
      <w:pPr>
        <w:tabs>
          <w:tab w:val="left" w:pos="142"/>
        </w:tabs>
        <w:ind w:left="142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</w:t>
      </w:r>
      <w:r w:rsidR="009F193A" w:rsidRPr="00E862A3">
        <w:rPr>
          <w:color w:val="000000"/>
          <w:kern w:val="2"/>
          <w:sz w:val="24"/>
          <w:szCs w:val="24"/>
        </w:rPr>
        <w:t xml:space="preserve">. </w:t>
      </w:r>
      <w:r w:rsidR="00AF5A04">
        <w:rPr>
          <w:color w:val="000000"/>
          <w:kern w:val="2"/>
          <w:sz w:val="24"/>
          <w:szCs w:val="24"/>
        </w:rPr>
        <w:t xml:space="preserve"> </w:t>
      </w:r>
      <w:r w:rsidR="009F193A" w:rsidRPr="00E862A3">
        <w:rPr>
          <w:color w:val="000000"/>
          <w:kern w:val="2"/>
          <w:sz w:val="24"/>
          <w:szCs w:val="24"/>
        </w:rPr>
        <w:t xml:space="preserve">Warunkiem dokonania zmian, o których mowa w ust. 3 jest złożenie wniosku przez stronę inicjującą zamianę zawierającego: opis propozycji zmian, uzasadnienie zmian, obliczenie kosztów zmian, jeżeli zmiana będzie miała wpływ na wynagrodzenie </w:t>
      </w:r>
      <w:r w:rsidR="00004C1A">
        <w:rPr>
          <w:color w:val="000000"/>
          <w:kern w:val="2"/>
          <w:sz w:val="24"/>
          <w:szCs w:val="24"/>
        </w:rPr>
        <w:t>Dostawcy</w:t>
      </w:r>
      <w:r w:rsidR="009F193A" w:rsidRPr="00E862A3">
        <w:rPr>
          <w:color w:val="000000"/>
          <w:kern w:val="2"/>
          <w:sz w:val="24"/>
          <w:szCs w:val="24"/>
        </w:rPr>
        <w:t>.</w:t>
      </w:r>
    </w:p>
    <w:p w14:paraId="35FBC21A" w14:textId="77777777" w:rsidR="009F193A" w:rsidRPr="00E862A3" w:rsidRDefault="009F193A" w:rsidP="009F193A">
      <w:pPr>
        <w:jc w:val="center"/>
        <w:rPr>
          <w:sz w:val="24"/>
          <w:szCs w:val="24"/>
        </w:rPr>
      </w:pPr>
    </w:p>
    <w:p w14:paraId="16521F83" w14:textId="1D40DD58" w:rsidR="009F193A" w:rsidRDefault="009F193A" w:rsidP="009F193A">
      <w:pPr>
        <w:jc w:val="center"/>
        <w:rPr>
          <w:b/>
          <w:sz w:val="24"/>
          <w:szCs w:val="24"/>
        </w:rPr>
      </w:pPr>
      <w:bookmarkStart w:id="0" w:name="_Hlk122504672"/>
      <w:r w:rsidRPr="00E862A3">
        <w:rPr>
          <w:b/>
          <w:sz w:val="24"/>
          <w:szCs w:val="24"/>
        </w:rPr>
        <w:t>§ 11</w:t>
      </w:r>
    </w:p>
    <w:bookmarkEnd w:id="0"/>
    <w:p w14:paraId="1C37ACE4" w14:textId="2DBFC5E8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1. Strony przewidują możliwość zmiany poziomu maksymalnego wynagrodzenia, o którym mowa w </w:t>
      </w:r>
      <w:r>
        <w:rPr>
          <w:b/>
          <w:sz w:val="24"/>
          <w:szCs w:val="24"/>
        </w:rPr>
        <w:t>§ 3 ust.</w:t>
      </w:r>
      <w:bookmarkStart w:id="1" w:name="_GoBack"/>
      <w:bookmarkEnd w:id="1"/>
      <w:r>
        <w:rPr>
          <w:b/>
          <w:sz w:val="24"/>
          <w:szCs w:val="24"/>
        </w:rPr>
        <w:t xml:space="preserve"> 2</w:t>
      </w:r>
      <w:r>
        <w:rPr>
          <w:color w:val="000000"/>
          <w:kern w:val="2"/>
          <w:sz w:val="24"/>
          <w:szCs w:val="24"/>
        </w:rPr>
        <w:t xml:space="preserve"> Umowy  w związku ze zmianami cen materiałów lub kosztów związanych z realizacją przedmiotu umowy jeżeli zmiany te będą miały wpływ na koszt wykonania Umowy (dalej jako waloryzacja wynagrodzenia), z zastrzeżeniem, że:</w:t>
      </w:r>
    </w:p>
    <w:p w14:paraId="1EF06FBC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a)</w:t>
      </w:r>
      <w:r>
        <w:rPr>
          <w:color w:val="000000"/>
          <w:kern w:val="2"/>
          <w:sz w:val="24"/>
          <w:szCs w:val="24"/>
        </w:rPr>
        <w:tab/>
        <w:t>przez zmianę wysokości wynagrodzenia rozumie się jego podwyższenie, jak i obniżenie;</w:t>
      </w:r>
    </w:p>
    <w:p w14:paraId="08FB4F06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b)</w:t>
      </w:r>
      <w:r>
        <w:rPr>
          <w:color w:val="000000"/>
          <w:kern w:val="2"/>
          <w:sz w:val="24"/>
          <w:szCs w:val="24"/>
        </w:rPr>
        <w:tab/>
        <w:t>miernikiem zmiany kosztów będzie miesięczny wskaźnik cen towarów i usług konsumpcyjnych ogłaszany przez Główny Urząd Statystyczny, określony w tabeli miesięcznych wskaźników cen towarów i usług konsumpcyjnych, liczony jako 100= analogiczny miesiąc poprzedniego roku;</w:t>
      </w:r>
    </w:p>
    <w:p w14:paraId="2C1356D9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c)</w:t>
      </w:r>
      <w:r>
        <w:rPr>
          <w:color w:val="000000"/>
          <w:kern w:val="2"/>
          <w:sz w:val="24"/>
          <w:szCs w:val="24"/>
        </w:rPr>
        <w:tab/>
        <w:t>pierwsza waloryzacja wynagrodzenia wykonawcy w oparciu o  wskaźnik podany w lit. b)  może zostać dokonana po upływie 6 pełnych miesięcy obowiązywania umowy, a każda następna po upływie kolejnych 6 pełnych miesięcy,</w:t>
      </w:r>
    </w:p>
    <w:p w14:paraId="7CF7891D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d)</w:t>
      </w:r>
      <w:r>
        <w:rPr>
          <w:color w:val="000000"/>
          <w:kern w:val="2"/>
          <w:sz w:val="24"/>
          <w:szCs w:val="24"/>
        </w:rPr>
        <w:tab/>
        <w:t xml:space="preserve">podstawą do wystąpienia o zmianę wysokości wynagrodzenia jest zmiana miesięcznego wskaźnika cen towarów i usług konsumpcyjnych, o którym mowa w lit. b), w stosunku do analogicznego miesiąca roku poprzedniego o więcej niż 4% punktów procentowych, </w:t>
      </w:r>
    </w:p>
    <w:p w14:paraId="3F5405E9" w14:textId="253F9BD6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e)</w:t>
      </w:r>
      <w:r>
        <w:rPr>
          <w:color w:val="000000"/>
          <w:kern w:val="2"/>
          <w:sz w:val="24"/>
          <w:szCs w:val="24"/>
        </w:rPr>
        <w:tab/>
        <w:t xml:space="preserve">łączna maksymalna wartość zmiany wynagrodzenia w efekcie zastosowania postanowień dotyczących w/w waloryzacji, nie może prze kroczyć  5 %  wysokości wynagrodzenia wykonawcy, o którym mowa w </w:t>
      </w:r>
      <w:r>
        <w:rPr>
          <w:b/>
          <w:sz w:val="24"/>
          <w:szCs w:val="24"/>
        </w:rPr>
        <w:t>§ 3 ust.2</w:t>
      </w:r>
      <w:r>
        <w:rPr>
          <w:color w:val="000000"/>
          <w:kern w:val="2"/>
          <w:sz w:val="24"/>
          <w:szCs w:val="24"/>
        </w:rPr>
        <w:t xml:space="preserve"> Umowy. </w:t>
      </w:r>
    </w:p>
    <w:p w14:paraId="15739689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</w:p>
    <w:p w14:paraId="0E62C5E9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2.</w:t>
      </w:r>
      <w:r>
        <w:rPr>
          <w:color w:val="000000"/>
          <w:kern w:val="2"/>
          <w:sz w:val="24"/>
          <w:szCs w:val="24"/>
        </w:rPr>
        <w:tab/>
        <w:t>Zmiana wynagrodzenia, może zostać wprowadzona na wniosek Stron, zgodnie z poniższymi zasadami:</w:t>
      </w:r>
    </w:p>
    <w:p w14:paraId="7E4F41B3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>a)</w:t>
      </w:r>
      <w:r>
        <w:rPr>
          <w:color w:val="000000"/>
          <w:kern w:val="2"/>
          <w:sz w:val="24"/>
          <w:szCs w:val="24"/>
        </w:rPr>
        <w:tab/>
        <w:t xml:space="preserve">waloryzacja wynagrodzenia Wykonawcy będzie dotyczyła tylko niezrealizowanej części zamówienia, </w:t>
      </w:r>
    </w:p>
    <w:p w14:paraId="419869DC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b)</w:t>
      </w:r>
      <w:r>
        <w:rPr>
          <w:color w:val="000000"/>
          <w:kern w:val="2"/>
          <w:sz w:val="24"/>
          <w:szCs w:val="24"/>
        </w:rPr>
        <w:tab/>
        <w:t>Wykonawca wskazuje wielkość procentową zwiększenia wynagrodzenia, nieprzekraczającą wielkości przyjętego wskaźnika, wraz z kalkulacjami obrazującymi, w jakim stopniu zmiana cen materiałów lub kosztów wpłynęła na zwiększenie kosztów realizacji umowy.</w:t>
      </w:r>
    </w:p>
    <w:p w14:paraId="0F220440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c)</w:t>
      </w:r>
      <w:r>
        <w:rPr>
          <w:color w:val="000000"/>
          <w:kern w:val="2"/>
          <w:sz w:val="24"/>
          <w:szCs w:val="24"/>
        </w:rPr>
        <w:tab/>
        <w:t xml:space="preserve">W przypadku wykazania przez wykonawcę, iż zmiana cen materiałów lub kosztów realizacji umowy jest niższa niż wskaźnik waloryzacji o którym mowa w ust. 1 lit. b), wynagrodzenie zostanie zwaloryzowane do wysokości określonej we wniosku.  </w:t>
      </w:r>
    </w:p>
    <w:p w14:paraId="2709D13C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d)</w:t>
      </w:r>
      <w:r>
        <w:rPr>
          <w:color w:val="000000"/>
          <w:kern w:val="2"/>
          <w:sz w:val="24"/>
          <w:szCs w:val="24"/>
        </w:rPr>
        <w:tab/>
        <w:t xml:space="preserve">W przypadku wykazania przez wykonawcę, iż zmiana cen materiałów lub kosztów realizacji umowy jest wyższa niż wskaźnik waloryzacji, o którym mowa w ust. 1 lit. b), wynagrodzenie zostanie zwaloryzowane maksymalnie do wysokości wskaźnika waloryzacji. </w:t>
      </w:r>
    </w:p>
    <w:p w14:paraId="3EACB74D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e)</w:t>
      </w:r>
      <w:r>
        <w:rPr>
          <w:color w:val="000000"/>
          <w:kern w:val="2"/>
          <w:sz w:val="24"/>
          <w:szCs w:val="24"/>
        </w:rPr>
        <w:tab/>
        <w:t>W przypadku wniosku  złożonego przez Wykonawcę, Zamawiający, w terminie 14 dni od dnia złożenia wniosku, dokona jego oceny  i podejmie decyzję o ewentualnej zmianie wysokości wynagrodzenia lub  odmówi wprowadzania zmiany, przedstawiając swoje stanowisko lub może zażądać dodatkowych wyjaśnień lub dokumentów.  Warunkiem dokonania zmiany będzie wykazanie, że zmiana cen materiałów lub kosztów związanych z realizacją umowy miała faktyczny wpływ na koszty wykonania przedmiotu umowy.</w:t>
      </w:r>
    </w:p>
    <w:p w14:paraId="0300C9E9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f)</w:t>
      </w:r>
      <w:r>
        <w:rPr>
          <w:color w:val="000000"/>
          <w:kern w:val="2"/>
          <w:sz w:val="24"/>
          <w:szCs w:val="24"/>
        </w:rPr>
        <w:tab/>
        <w:t xml:space="preserve">W przypadku wniosku  złożonego przez Zamawiającego, Zamawiający wskazuje wielkość procentową obniżenia wynagrodzenia, nieprzekraczającą wielkości przyjętego wskaźnika. </w:t>
      </w:r>
    </w:p>
    <w:p w14:paraId="504EA751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Wykonawca, w terminie 14 dni od dnia złożenia wniosku, dokona jego oceny i podejmie decyzję o ewentualnej zmianie wysokości wynagrodzenia lub  odmówi wprowadzania zmiany, przedstawiając swoje stanowisko.</w:t>
      </w:r>
    </w:p>
    <w:p w14:paraId="7475A6B1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</w:p>
    <w:p w14:paraId="6088C418" w14:textId="1BA2FF5A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3.</w:t>
      </w:r>
      <w:r>
        <w:rPr>
          <w:color w:val="000000"/>
          <w:kern w:val="2"/>
          <w:sz w:val="24"/>
          <w:szCs w:val="24"/>
        </w:rPr>
        <w:tab/>
        <w:t>Wykonawca, którego wynagrodzenie zostało zmienione zgodnie z § 11 zobowiązuje się do zmiany wynagrodzenia przysługującego podwykonawcy, z którym zawarł umowę, w zakresie odpowiadającym zmianom cen materiałów lub kosztów dotyczących zobowiązania podwykonawcy (dotyczy sytuacji, w której w ofercie wskazano podwykonawcę).</w:t>
      </w:r>
    </w:p>
    <w:p w14:paraId="79D7A6DB" w14:textId="77777777" w:rsidR="00802BA9" w:rsidRDefault="00802BA9" w:rsidP="00802BA9">
      <w:pPr>
        <w:tabs>
          <w:tab w:val="left" w:pos="360"/>
        </w:tabs>
        <w:ind w:left="284" w:hanging="284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Wszelkie zmiany umowy wymagają formy pisemnej (aneksu) pod rygorem nieważności.</w:t>
      </w:r>
    </w:p>
    <w:p w14:paraId="5C7837FB" w14:textId="0B088F2C" w:rsidR="00802BA9" w:rsidRDefault="00802BA9" w:rsidP="009F193A">
      <w:pPr>
        <w:jc w:val="center"/>
        <w:rPr>
          <w:b/>
          <w:sz w:val="24"/>
          <w:szCs w:val="24"/>
        </w:rPr>
      </w:pPr>
    </w:p>
    <w:p w14:paraId="62694F8B" w14:textId="163A50C1" w:rsidR="00802BA9" w:rsidRPr="00E862A3" w:rsidRDefault="00802BA9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14:paraId="678FA3AD" w14:textId="77777777" w:rsidR="009F193A" w:rsidRPr="00E862A3" w:rsidRDefault="009F193A" w:rsidP="00AF5A04">
      <w:pPr>
        <w:ind w:left="142"/>
        <w:rPr>
          <w:sz w:val="24"/>
          <w:szCs w:val="24"/>
        </w:rPr>
      </w:pPr>
      <w:r w:rsidRPr="00E862A3">
        <w:rPr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14:paraId="69076221" w14:textId="77777777" w:rsidR="00AF5A04" w:rsidRDefault="00AF5A04" w:rsidP="009F193A">
      <w:pPr>
        <w:jc w:val="center"/>
        <w:rPr>
          <w:b/>
          <w:sz w:val="24"/>
          <w:szCs w:val="24"/>
        </w:rPr>
      </w:pPr>
    </w:p>
    <w:p w14:paraId="0C8721CE" w14:textId="5A024B04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1</w:t>
      </w:r>
      <w:r w:rsidR="00802BA9">
        <w:rPr>
          <w:b/>
          <w:sz w:val="24"/>
          <w:szCs w:val="24"/>
        </w:rPr>
        <w:t>3</w:t>
      </w:r>
    </w:p>
    <w:p w14:paraId="37289C46" w14:textId="77777777" w:rsidR="009F193A" w:rsidRPr="00E862A3" w:rsidRDefault="009F193A" w:rsidP="00AF5A04">
      <w:pPr>
        <w:ind w:left="142"/>
        <w:rPr>
          <w:sz w:val="24"/>
          <w:szCs w:val="24"/>
        </w:rPr>
      </w:pPr>
      <w:r w:rsidRPr="00E862A3">
        <w:rPr>
          <w:sz w:val="24"/>
          <w:szCs w:val="24"/>
        </w:rPr>
        <w:t xml:space="preserve">W sprawach nie uregulowanych w niniejszej umowie stosuje się przepisy kodeksu cywilnego i ustawy – Prawo Zamówień Publicznych.    </w:t>
      </w:r>
    </w:p>
    <w:p w14:paraId="28C5A518" w14:textId="77777777" w:rsidR="00AF5A04" w:rsidRDefault="00AF5A04" w:rsidP="009F193A">
      <w:pPr>
        <w:jc w:val="center"/>
        <w:rPr>
          <w:b/>
          <w:sz w:val="24"/>
          <w:szCs w:val="24"/>
        </w:rPr>
      </w:pPr>
    </w:p>
    <w:p w14:paraId="2C000B5D" w14:textId="4007DB1E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1</w:t>
      </w:r>
      <w:r w:rsidR="00802BA9">
        <w:rPr>
          <w:b/>
          <w:sz w:val="24"/>
          <w:szCs w:val="24"/>
        </w:rPr>
        <w:t>4</w:t>
      </w:r>
    </w:p>
    <w:p w14:paraId="18C0B1C6" w14:textId="77777777" w:rsidR="009F193A" w:rsidRPr="00E862A3" w:rsidRDefault="009F193A" w:rsidP="00AF5A04">
      <w:pPr>
        <w:ind w:left="142"/>
        <w:rPr>
          <w:sz w:val="24"/>
          <w:szCs w:val="24"/>
        </w:rPr>
      </w:pPr>
      <w:r w:rsidRPr="00E862A3">
        <w:rPr>
          <w:sz w:val="24"/>
          <w:szCs w:val="24"/>
        </w:rPr>
        <w:t>Wszelkie załączniki stanowią integralną część niniejszej umowy.</w:t>
      </w:r>
    </w:p>
    <w:p w14:paraId="3370BB3E" w14:textId="77777777" w:rsidR="009F193A" w:rsidRPr="00E862A3" w:rsidRDefault="009F193A" w:rsidP="009F193A">
      <w:pPr>
        <w:jc w:val="center"/>
        <w:rPr>
          <w:sz w:val="24"/>
          <w:szCs w:val="24"/>
        </w:rPr>
      </w:pPr>
    </w:p>
    <w:p w14:paraId="06CC09DA" w14:textId="7A4EFB9D" w:rsidR="009F193A" w:rsidRPr="00E862A3" w:rsidRDefault="009F193A" w:rsidP="009F193A">
      <w:pPr>
        <w:jc w:val="center"/>
        <w:rPr>
          <w:b/>
          <w:sz w:val="24"/>
          <w:szCs w:val="24"/>
        </w:rPr>
      </w:pPr>
      <w:r w:rsidRPr="00E862A3">
        <w:rPr>
          <w:b/>
          <w:sz w:val="24"/>
          <w:szCs w:val="24"/>
        </w:rPr>
        <w:t>§ 1</w:t>
      </w:r>
      <w:r w:rsidR="00802BA9">
        <w:rPr>
          <w:b/>
          <w:sz w:val="24"/>
          <w:szCs w:val="24"/>
        </w:rPr>
        <w:t>5</w:t>
      </w:r>
    </w:p>
    <w:p w14:paraId="5CA298E1" w14:textId="77777777" w:rsidR="009F193A" w:rsidRPr="00E862A3" w:rsidRDefault="009F193A" w:rsidP="009F193A">
      <w:pPr>
        <w:rPr>
          <w:sz w:val="24"/>
          <w:szCs w:val="24"/>
        </w:rPr>
      </w:pPr>
      <w:r w:rsidRPr="00E862A3">
        <w:rPr>
          <w:sz w:val="24"/>
          <w:szCs w:val="24"/>
        </w:rPr>
        <w:t xml:space="preserve">Umowę sporządzono w 2 jednobrzmiących egzemplarzach po 1 dla każdej ze stron.   </w:t>
      </w:r>
    </w:p>
    <w:p w14:paraId="64CFE1C7" w14:textId="77777777" w:rsidR="009F193A" w:rsidRPr="00E862A3" w:rsidRDefault="009F193A" w:rsidP="009F193A">
      <w:pPr>
        <w:rPr>
          <w:sz w:val="24"/>
          <w:szCs w:val="24"/>
        </w:rPr>
      </w:pPr>
    </w:p>
    <w:p w14:paraId="16157AAB" w14:textId="77777777" w:rsidR="009F193A" w:rsidRPr="00E862A3" w:rsidRDefault="009F193A" w:rsidP="009F193A">
      <w:pPr>
        <w:rPr>
          <w:sz w:val="24"/>
          <w:szCs w:val="24"/>
        </w:rPr>
      </w:pPr>
    </w:p>
    <w:p w14:paraId="510FB0C3" w14:textId="77777777" w:rsidR="009F193A" w:rsidRPr="00E862A3" w:rsidRDefault="009F193A" w:rsidP="009F193A">
      <w:pPr>
        <w:rPr>
          <w:b/>
          <w:bCs/>
          <w:sz w:val="24"/>
          <w:szCs w:val="24"/>
        </w:rPr>
      </w:pPr>
      <w:r w:rsidRPr="00E862A3">
        <w:rPr>
          <w:b/>
          <w:bCs/>
          <w:sz w:val="24"/>
          <w:szCs w:val="24"/>
        </w:rPr>
        <w:t xml:space="preserve">Zamawiający                                                                                                            Dostawca  </w:t>
      </w:r>
    </w:p>
    <w:p w14:paraId="61FCFCFC" w14:textId="77777777" w:rsidR="0081314B" w:rsidRPr="00E862A3" w:rsidRDefault="0081314B" w:rsidP="009F193A">
      <w:pPr>
        <w:rPr>
          <w:b/>
          <w:bCs/>
          <w:sz w:val="24"/>
          <w:szCs w:val="24"/>
        </w:rPr>
      </w:pPr>
    </w:p>
    <w:p w14:paraId="418228B6" w14:textId="77777777" w:rsidR="0081314B" w:rsidRPr="00E862A3" w:rsidRDefault="0081314B" w:rsidP="009F193A">
      <w:pPr>
        <w:rPr>
          <w:b/>
          <w:bCs/>
          <w:sz w:val="24"/>
          <w:szCs w:val="24"/>
        </w:rPr>
      </w:pPr>
    </w:p>
    <w:p w14:paraId="3960ADCD" w14:textId="77777777" w:rsidR="0081314B" w:rsidRPr="00E862A3" w:rsidRDefault="0081314B" w:rsidP="0081314B">
      <w:pPr>
        <w:pStyle w:val="Zwykytekst"/>
        <w:tabs>
          <w:tab w:val="left" w:pos="5898"/>
        </w:tabs>
        <w:rPr>
          <w:rFonts w:ascii="Times New Roman" w:hAnsi="Times New Roman" w:cs="Times New Roman"/>
          <w:sz w:val="24"/>
          <w:szCs w:val="24"/>
        </w:rPr>
      </w:pPr>
      <w:r w:rsidRPr="00E862A3">
        <w:rPr>
          <w:rFonts w:ascii="Times New Roman" w:hAnsi="Times New Roman" w:cs="Times New Roman"/>
          <w:sz w:val="24"/>
          <w:szCs w:val="24"/>
        </w:rPr>
        <w:t>……………………</w:t>
      </w:r>
      <w:r w:rsidRPr="00E862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39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62A3">
        <w:rPr>
          <w:rFonts w:ascii="Times New Roman" w:hAnsi="Times New Roman" w:cs="Times New Roman"/>
          <w:sz w:val="24"/>
          <w:szCs w:val="24"/>
        </w:rPr>
        <w:t xml:space="preserve">      …………………</w:t>
      </w:r>
    </w:p>
    <w:p w14:paraId="4CF86996" w14:textId="77777777" w:rsidR="0081314B" w:rsidRPr="00E862A3" w:rsidRDefault="0081314B" w:rsidP="0081314B">
      <w:pPr>
        <w:tabs>
          <w:tab w:val="left" w:pos="6536"/>
        </w:tabs>
        <w:rPr>
          <w:sz w:val="24"/>
          <w:szCs w:val="24"/>
        </w:rPr>
      </w:pPr>
      <w:r w:rsidRPr="00E862A3">
        <w:rPr>
          <w:sz w:val="24"/>
          <w:szCs w:val="24"/>
        </w:rPr>
        <w:t>(data i podpis)</w:t>
      </w:r>
      <w:r w:rsidRPr="00E862A3">
        <w:rPr>
          <w:sz w:val="24"/>
          <w:szCs w:val="24"/>
        </w:rPr>
        <w:tab/>
      </w:r>
      <w:r w:rsidR="00903944">
        <w:rPr>
          <w:sz w:val="24"/>
          <w:szCs w:val="24"/>
        </w:rPr>
        <w:t xml:space="preserve">               </w:t>
      </w:r>
      <w:r w:rsidRPr="00E862A3">
        <w:rPr>
          <w:sz w:val="24"/>
          <w:szCs w:val="24"/>
        </w:rPr>
        <w:t>(data i podpis)</w:t>
      </w:r>
    </w:p>
    <w:p w14:paraId="70F790B5" w14:textId="342950B7" w:rsidR="009F193A" w:rsidRDefault="009F193A" w:rsidP="009F193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6416948A" w14:textId="77777777" w:rsidR="006E3342" w:rsidRPr="001620EC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  <w:r w:rsidRPr="001620EC">
        <w:rPr>
          <w:rFonts w:ascii="Verdana" w:hAnsi="Verdana" w:cs="Times New Roman"/>
          <w:i/>
          <w:iCs/>
        </w:rPr>
        <w:t>Załączniki do umowy :</w:t>
      </w:r>
    </w:p>
    <w:p w14:paraId="514D5A0F" w14:textId="77777777" w:rsidR="006E3342" w:rsidRPr="001620EC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  <w:r w:rsidRPr="001620EC">
        <w:rPr>
          <w:rFonts w:ascii="Verdana" w:hAnsi="Verdana" w:cs="Times New Roman"/>
          <w:i/>
          <w:iCs/>
        </w:rPr>
        <w:t>1)</w:t>
      </w:r>
      <w:r>
        <w:rPr>
          <w:rFonts w:ascii="Verdana" w:hAnsi="Verdana" w:cs="Times New Roman"/>
          <w:i/>
          <w:iCs/>
        </w:rPr>
        <w:t xml:space="preserve"> </w:t>
      </w:r>
      <w:r w:rsidRPr="001620EC">
        <w:rPr>
          <w:rFonts w:ascii="Verdana" w:hAnsi="Verdana" w:cs="Times New Roman"/>
          <w:i/>
          <w:iCs/>
        </w:rPr>
        <w:t xml:space="preserve">Szczegółowa specyfikacja sprzętu/opis przedmiotu zamówienia </w:t>
      </w:r>
    </w:p>
    <w:p w14:paraId="1F84C8D1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  <w:r w:rsidRPr="001620EC">
        <w:rPr>
          <w:rFonts w:ascii="Verdana" w:hAnsi="Verdana" w:cs="Times New Roman"/>
          <w:i/>
          <w:iCs/>
        </w:rPr>
        <w:t>2)</w:t>
      </w:r>
      <w:r>
        <w:rPr>
          <w:rFonts w:ascii="Verdana" w:hAnsi="Verdana" w:cs="Times New Roman"/>
          <w:i/>
          <w:iCs/>
        </w:rPr>
        <w:t xml:space="preserve"> O</w:t>
      </w:r>
      <w:r w:rsidRPr="001620EC">
        <w:rPr>
          <w:rFonts w:ascii="Verdana" w:hAnsi="Verdana" w:cs="Times New Roman"/>
          <w:i/>
          <w:iCs/>
        </w:rPr>
        <w:t>świadczenie dla celów podatkowych dotyczące podmiotów powiązanyc</w:t>
      </w:r>
      <w:r>
        <w:rPr>
          <w:rFonts w:ascii="Verdana" w:hAnsi="Verdana" w:cs="Times New Roman"/>
          <w:i/>
          <w:iCs/>
        </w:rPr>
        <w:t>h</w:t>
      </w:r>
    </w:p>
    <w:p w14:paraId="4418CBD3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06502596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4BBEAD5B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6D0D48EF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31B3E09A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5CBC3D73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3C8E45E3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391BD887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7C4E7C52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6A04485A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41589A8F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7F2E2F12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29D0BE8D" w14:textId="77777777" w:rsidR="006E3342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482AE82F" w14:textId="77777777" w:rsidR="006E3342" w:rsidRDefault="006E3342" w:rsidP="006E3342">
      <w:pPr>
        <w:widowControl w:val="0"/>
        <w:autoSpaceDE w:val="0"/>
        <w:autoSpaceDN w:val="0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Załącznik nr 2 do umowy</w:t>
      </w:r>
    </w:p>
    <w:p w14:paraId="311A3F6C" w14:textId="77777777" w:rsidR="006E3342" w:rsidRDefault="006E3342" w:rsidP="006E3342">
      <w:pPr>
        <w:widowControl w:val="0"/>
        <w:autoSpaceDE w:val="0"/>
        <w:autoSpaceDN w:val="0"/>
        <w:jc w:val="both"/>
        <w:textAlignment w:val="baseline"/>
        <w:rPr>
          <w:rFonts w:ascii="Verdana" w:hAnsi="Verdana" w:cs="Arial"/>
        </w:rPr>
      </w:pPr>
    </w:p>
    <w:p w14:paraId="56FFDEBC" w14:textId="77777777" w:rsidR="006E3342" w:rsidRDefault="006E3342" w:rsidP="006E3342">
      <w:pPr>
        <w:widowControl w:val="0"/>
        <w:autoSpaceDE w:val="0"/>
        <w:autoSpaceDN w:val="0"/>
        <w:jc w:val="both"/>
        <w:textAlignment w:val="baseline"/>
        <w:rPr>
          <w:rFonts w:ascii="Verdana" w:hAnsi="Verdana" w:cs="Arial"/>
        </w:rPr>
      </w:pPr>
    </w:p>
    <w:p w14:paraId="3110BD98" w14:textId="77777777" w:rsidR="006E3342" w:rsidRPr="001A7899" w:rsidRDefault="006E3342" w:rsidP="006E3342">
      <w:pPr>
        <w:widowControl w:val="0"/>
        <w:autoSpaceDE w:val="0"/>
        <w:autoSpaceDN w:val="0"/>
        <w:jc w:val="both"/>
        <w:textAlignment w:val="baseline"/>
        <w:rPr>
          <w:rFonts w:ascii="Verdana" w:hAnsi="Verdana" w:cs="Segoe UI"/>
        </w:rPr>
      </w:pPr>
      <w:r w:rsidRPr="001A7899">
        <w:rPr>
          <w:rFonts w:ascii="Verdana" w:hAnsi="Verdana" w:cs="Arial"/>
        </w:rPr>
        <w:t>.....................................… </w:t>
      </w:r>
    </w:p>
    <w:p w14:paraId="6A464E40" w14:textId="77777777" w:rsidR="006E3342" w:rsidRPr="001A7899" w:rsidRDefault="006E3342" w:rsidP="006E3342">
      <w:pPr>
        <w:widowControl w:val="0"/>
        <w:autoSpaceDE w:val="0"/>
        <w:autoSpaceDN w:val="0"/>
        <w:ind w:firstLine="555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</w:rPr>
        <w:t>Nazwa Wykonawcy</w:t>
      </w:r>
    </w:p>
    <w:p w14:paraId="2634EBE1" w14:textId="77777777" w:rsidR="006E3342" w:rsidRPr="001A7899" w:rsidRDefault="006E3342" w:rsidP="006E3342">
      <w:pPr>
        <w:widowControl w:val="0"/>
        <w:autoSpaceDE w:val="0"/>
        <w:autoSpaceDN w:val="0"/>
        <w:textAlignment w:val="baseline"/>
        <w:rPr>
          <w:rFonts w:ascii="Verdana" w:hAnsi="Verdana" w:cs="Segoe UI"/>
        </w:rPr>
      </w:pPr>
    </w:p>
    <w:p w14:paraId="5749EF87" w14:textId="77777777" w:rsidR="006E3342" w:rsidRPr="001A7899" w:rsidRDefault="006E3342" w:rsidP="006E3342">
      <w:pPr>
        <w:widowControl w:val="0"/>
        <w:autoSpaceDE w:val="0"/>
        <w:autoSpaceDN w:val="0"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</w:rPr>
        <w:t>.....................................…</w:t>
      </w:r>
    </w:p>
    <w:p w14:paraId="4A76F13F" w14:textId="77777777" w:rsidR="006E3342" w:rsidRPr="001A7899" w:rsidRDefault="006E3342" w:rsidP="006E3342">
      <w:pPr>
        <w:widowControl w:val="0"/>
        <w:autoSpaceDE w:val="0"/>
        <w:autoSpaceDN w:val="0"/>
        <w:ind w:firstLine="840"/>
        <w:textAlignment w:val="baseline"/>
        <w:rPr>
          <w:rFonts w:ascii="Verdana" w:hAnsi="Verdana" w:cs="Segoe UI"/>
        </w:rPr>
      </w:pPr>
      <w:r w:rsidRPr="001A7899">
        <w:rPr>
          <w:rFonts w:ascii="Verdana" w:hAnsi="Verdana" w:cs="Arial"/>
        </w:rPr>
        <w:t>NIP</w:t>
      </w:r>
      <w:r w:rsidRPr="001A7899">
        <w:rPr>
          <w:rFonts w:ascii="Verdana" w:hAnsi="Verdana" w:cs="Calibri"/>
        </w:rPr>
        <w:tab/>
      </w:r>
      <w:r w:rsidRPr="001A7899">
        <w:rPr>
          <w:rFonts w:ascii="Verdana" w:hAnsi="Verdana" w:cs="Arial"/>
        </w:rPr>
        <w:t> </w:t>
      </w:r>
    </w:p>
    <w:p w14:paraId="5011EA9B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left="115"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5A622BA7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03317C5D" w14:textId="77777777" w:rsidR="006E3342" w:rsidRPr="001A7899" w:rsidRDefault="006E3342" w:rsidP="006E334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</w:p>
    <w:p w14:paraId="1C7CB555" w14:textId="77777777" w:rsidR="006E3342" w:rsidRPr="001A7899" w:rsidRDefault="006E3342" w:rsidP="006E334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</w:p>
    <w:p w14:paraId="77454489" w14:textId="77777777" w:rsidR="006E3342" w:rsidRPr="001A7899" w:rsidRDefault="006E3342" w:rsidP="006E334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  <w:r w:rsidRPr="001A7899">
        <w:rPr>
          <w:rFonts w:ascii="Verdana" w:hAnsi="Verdana" w:cs="Arial"/>
          <w:b/>
          <w:bCs/>
        </w:rPr>
        <w:t>OŚWIADCZENIE DLA CELÓW PODATKOWYCH</w:t>
      </w:r>
    </w:p>
    <w:p w14:paraId="376337A0" w14:textId="77777777" w:rsidR="006E3342" w:rsidRPr="001A7899" w:rsidRDefault="006E3342" w:rsidP="006E334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  <w:r w:rsidRPr="001A7899">
        <w:rPr>
          <w:rFonts w:ascii="Verdana" w:hAnsi="Verdana" w:cs="Arial"/>
          <w:b/>
          <w:bCs/>
        </w:rPr>
        <w:t xml:space="preserve">DOTYCZĄCE PODMIOTÓW POWIĄZANYCH </w:t>
      </w:r>
    </w:p>
    <w:p w14:paraId="7459D8B4" w14:textId="77777777" w:rsidR="006E3342" w:rsidRPr="001A7899" w:rsidRDefault="006E3342" w:rsidP="006E3342">
      <w:pPr>
        <w:widowControl w:val="0"/>
        <w:autoSpaceDE w:val="0"/>
        <w:autoSpaceDN w:val="0"/>
        <w:jc w:val="center"/>
        <w:textAlignment w:val="baseline"/>
        <w:rPr>
          <w:rFonts w:ascii="Verdana" w:hAnsi="Verdana" w:cs="Arial"/>
          <w:b/>
          <w:bCs/>
        </w:rPr>
      </w:pPr>
    </w:p>
    <w:p w14:paraId="35DB5A97" w14:textId="77777777" w:rsidR="006E3342" w:rsidRPr="001A7899" w:rsidRDefault="006E3342" w:rsidP="006E3342">
      <w:pPr>
        <w:widowControl w:val="0"/>
        <w:autoSpaceDE w:val="0"/>
        <w:autoSpaceDN w:val="0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</w:rPr>
        <w:t>Działając w imieniu ………………………………, (dalej jako: „</w:t>
      </w:r>
      <w:r w:rsidRPr="001A7899">
        <w:rPr>
          <w:rFonts w:ascii="Verdana" w:hAnsi="Verdana" w:cs="Arial"/>
          <w:b/>
          <w:bCs/>
        </w:rPr>
        <w:t>Podmiot</w:t>
      </w:r>
      <w:r w:rsidRPr="001A7899">
        <w:rPr>
          <w:rFonts w:ascii="Verdana" w:hAnsi="Verdana" w:cs="Arial"/>
        </w:rPr>
        <w:t>”) niniejszym oświadcza, że Podmiot:</w:t>
      </w:r>
    </w:p>
    <w:p w14:paraId="3B2F2D98" w14:textId="77777777" w:rsidR="006E3342" w:rsidRPr="001A7899" w:rsidRDefault="006E3342" w:rsidP="006E3342">
      <w:pPr>
        <w:widowControl w:val="0"/>
        <w:numPr>
          <w:ilvl w:val="0"/>
          <w:numId w:val="15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hAnsi="Verdana" w:cs="Arial"/>
          <w:b/>
          <w:bCs/>
        </w:rPr>
        <w:t>jest / nie jest</w:t>
      </w:r>
      <w:r w:rsidRPr="001A7899">
        <w:rPr>
          <w:rFonts w:ascii="Verdana" w:hAnsi="Verdana" w:cs="Arial"/>
          <w:vertAlign w:val="superscript"/>
        </w:rPr>
        <w:footnoteReference w:id="1"/>
      </w:r>
      <w:r w:rsidRPr="001A7899">
        <w:rPr>
          <w:rFonts w:ascii="Verdana" w:hAnsi="Verdana" w:cs="Arial"/>
        </w:rPr>
        <w:t xml:space="preserve"> podmiotem powiązanym z Akademią Górniczo-Hutniczą </w:t>
      </w:r>
      <w:r w:rsidRPr="001A7899">
        <w:rPr>
          <w:rFonts w:ascii="Verdana" w:hAnsi="Verdana" w:cs="Arial"/>
        </w:rPr>
        <w:br/>
        <w:t>im. Stanisława Staszica w Krakowie w rozumieniu art. 11a Ustawy o podatku dochodowym od osób prawnych z dnia 15 marca 1992 r.</w:t>
      </w:r>
      <w:r w:rsidRPr="001A7899">
        <w:rPr>
          <w:rFonts w:ascii="Verdana" w:hAnsi="Verdana" w:cs="Arial"/>
          <w:vertAlign w:val="superscript"/>
        </w:rPr>
        <w:footnoteReference w:id="2"/>
      </w:r>
      <w:r w:rsidRPr="001A7899">
        <w:rPr>
          <w:rFonts w:ascii="Verdana" w:hAnsi="Verdana" w:cs="Arial"/>
        </w:rPr>
        <w:t>;</w:t>
      </w:r>
    </w:p>
    <w:p w14:paraId="1BF4F8C9" w14:textId="77777777" w:rsidR="006E3342" w:rsidRPr="001A7899" w:rsidRDefault="006E3342" w:rsidP="006E3342">
      <w:pPr>
        <w:widowControl w:val="0"/>
        <w:numPr>
          <w:ilvl w:val="0"/>
          <w:numId w:val="15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eastAsia="Calibri" w:hAnsi="Verdana" w:cs="Arial"/>
          <w:b/>
          <w:bCs/>
          <w:lang w:eastAsia="en-US"/>
        </w:rPr>
        <w:t>jest / nie</w:t>
      </w:r>
      <w:r w:rsidRPr="001A7899">
        <w:rPr>
          <w:rFonts w:ascii="Verdana" w:eastAsia="Calibri" w:hAnsi="Verdana" w:cs="Arial"/>
          <w:lang w:eastAsia="en-US"/>
        </w:rPr>
        <w:t xml:space="preserve"> </w:t>
      </w:r>
      <w:r w:rsidRPr="001A7899">
        <w:rPr>
          <w:rFonts w:ascii="Verdana" w:eastAsia="Calibri" w:hAnsi="Verdana" w:cs="Arial"/>
          <w:b/>
          <w:bCs/>
          <w:lang w:eastAsia="en-US"/>
        </w:rPr>
        <w:t>jest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3"/>
      </w:r>
      <w:r w:rsidRPr="001A7899">
        <w:rPr>
          <w:rFonts w:ascii="Verdana" w:eastAsia="Calibri" w:hAnsi="Verdana" w:cs="Arial"/>
          <w:lang w:eastAsia="en-US"/>
        </w:rPr>
        <w:t xml:space="preserve"> podmiotem mającym miejsce zamieszkania, siedzibę lub zarząd na terytorium lub w kraju stosującym szkodliwą konkurencję podatkową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4"/>
      </w:r>
      <w:r w:rsidRPr="001A7899">
        <w:rPr>
          <w:rFonts w:ascii="Verdana" w:eastAsia="Calibri" w:hAnsi="Verdana" w:cs="Arial"/>
          <w:lang w:eastAsia="en-US"/>
        </w:rPr>
        <w:t xml:space="preserve"> </w:t>
      </w:r>
    </w:p>
    <w:p w14:paraId="1FF90552" w14:textId="77777777" w:rsidR="006E3342" w:rsidRPr="001A7899" w:rsidRDefault="006E3342" w:rsidP="006E3342">
      <w:pPr>
        <w:widowControl w:val="0"/>
        <w:numPr>
          <w:ilvl w:val="0"/>
          <w:numId w:val="15"/>
        </w:numPr>
        <w:autoSpaceDE w:val="0"/>
        <w:autoSpaceDN w:val="0"/>
        <w:spacing w:after="200" w:line="276" w:lineRule="auto"/>
        <w:contextualSpacing/>
        <w:jc w:val="both"/>
        <w:textAlignment w:val="baseline"/>
        <w:rPr>
          <w:rFonts w:ascii="Verdana" w:hAnsi="Verdana" w:cs="Arial"/>
        </w:rPr>
      </w:pPr>
      <w:r w:rsidRPr="001A7899">
        <w:rPr>
          <w:rFonts w:ascii="Verdana" w:eastAsia="Calibri" w:hAnsi="Verdana" w:cs="Arial"/>
          <w:lang w:eastAsia="en-US"/>
        </w:rPr>
        <w:lastRenderedPageBreak/>
        <w:t>rzeczywisty właściciel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5"/>
      </w:r>
      <w:r w:rsidRPr="001A7899">
        <w:rPr>
          <w:rFonts w:ascii="Verdana" w:eastAsia="Calibri" w:hAnsi="Verdana" w:cs="Arial"/>
          <w:lang w:eastAsia="en-US"/>
        </w:rPr>
        <w:t xml:space="preserve"> Podmiotu </w:t>
      </w:r>
      <w:r w:rsidRPr="001A7899">
        <w:rPr>
          <w:rFonts w:ascii="Verdana" w:eastAsia="Calibri" w:hAnsi="Verdana" w:cs="Arial"/>
          <w:b/>
          <w:bCs/>
          <w:lang w:eastAsia="en-US"/>
        </w:rPr>
        <w:t>jest / nie jest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6"/>
      </w:r>
      <w:r w:rsidRPr="001A7899">
        <w:rPr>
          <w:rFonts w:ascii="Verdana" w:eastAsia="Calibri" w:hAnsi="Verdana" w:cs="Arial"/>
          <w:lang w:eastAsia="en-US"/>
        </w:rPr>
        <w:t xml:space="preserve"> podmiotem mającym miejsce zamieszkania, siedzibę lub zarząd na terytorium lub w kraju stosującym szkodliwą konkurencję podatkową</w:t>
      </w:r>
      <w:r w:rsidRPr="001A7899">
        <w:rPr>
          <w:rFonts w:ascii="Verdana" w:eastAsia="Calibri" w:hAnsi="Verdana" w:cs="Arial"/>
          <w:vertAlign w:val="superscript"/>
          <w:lang w:eastAsia="en-US"/>
        </w:rPr>
        <w:t>4</w:t>
      </w:r>
      <w:r w:rsidRPr="001A7899">
        <w:rPr>
          <w:rFonts w:ascii="Verdana" w:eastAsia="Calibri" w:hAnsi="Verdana" w:cs="Arial"/>
          <w:lang w:eastAsia="en-US"/>
        </w:rPr>
        <w:t xml:space="preserve"> </w:t>
      </w:r>
    </w:p>
    <w:p w14:paraId="2F4DED83" w14:textId="77777777" w:rsidR="006E3342" w:rsidRPr="001A7899" w:rsidRDefault="006E3342" w:rsidP="006E3342">
      <w:pPr>
        <w:widowControl w:val="0"/>
        <w:numPr>
          <w:ilvl w:val="0"/>
          <w:numId w:val="15"/>
        </w:numPr>
        <w:autoSpaceDE w:val="0"/>
        <w:autoSpaceDN w:val="0"/>
        <w:spacing w:line="276" w:lineRule="auto"/>
        <w:contextualSpacing/>
        <w:jc w:val="both"/>
        <w:rPr>
          <w:rFonts w:ascii="Verdana" w:eastAsia="Calibri" w:hAnsi="Verdana" w:cs="Arial"/>
          <w:lang w:eastAsia="en-US"/>
        </w:rPr>
      </w:pPr>
      <w:r w:rsidRPr="001A7899">
        <w:rPr>
          <w:rFonts w:ascii="Verdana" w:eastAsia="Calibri" w:hAnsi="Verdana" w:cs="Arial"/>
          <w:lang w:eastAsia="en-US"/>
        </w:rPr>
        <w:t xml:space="preserve">Podmiot </w:t>
      </w:r>
      <w:r w:rsidRPr="001A7899">
        <w:rPr>
          <w:rFonts w:ascii="Verdana" w:eastAsia="Calibri" w:hAnsi="Verdana" w:cs="Arial"/>
          <w:b/>
          <w:bCs/>
          <w:lang w:eastAsia="en-US"/>
        </w:rPr>
        <w:t>stanowi / nie stanowi</w:t>
      </w:r>
      <w:r w:rsidRPr="001A7899">
        <w:rPr>
          <w:rFonts w:ascii="Verdana" w:hAnsi="Verdana" w:cs="Arial"/>
          <w:vertAlign w:val="superscript"/>
        </w:rPr>
        <w:footnoteReference w:id="7"/>
      </w:r>
      <w:r w:rsidRPr="001A7899">
        <w:rPr>
          <w:rFonts w:ascii="Verdana" w:hAnsi="Verdana" w:cs="Arial"/>
        </w:rPr>
        <w:t xml:space="preserve"> </w:t>
      </w:r>
      <w:r w:rsidRPr="001A7899">
        <w:rPr>
          <w:rFonts w:ascii="Verdana" w:eastAsia="Calibri" w:hAnsi="Verdana" w:cs="Arial"/>
          <w:b/>
          <w:bCs/>
          <w:lang w:eastAsia="en-US"/>
        </w:rPr>
        <w:t xml:space="preserve"> </w:t>
      </w:r>
      <w:r w:rsidRPr="001A7899">
        <w:rPr>
          <w:rFonts w:ascii="Verdana" w:eastAsia="Calibri" w:hAnsi="Verdana" w:cs="Arial"/>
          <w:lang w:eastAsia="en-US"/>
        </w:rPr>
        <w:t>dla Akademia Górniczo-Hutnicza im. Stanisława Staszica w Krakowie zagranicznej jednostki kontrolowanej</w:t>
      </w:r>
      <w:r w:rsidRPr="001A7899">
        <w:rPr>
          <w:rFonts w:ascii="Verdana" w:eastAsia="Calibri" w:hAnsi="Verdana" w:cs="Arial"/>
          <w:vertAlign w:val="superscript"/>
          <w:lang w:eastAsia="en-US"/>
        </w:rPr>
        <w:footnoteReference w:id="8"/>
      </w:r>
      <w:r w:rsidRPr="001A7899">
        <w:rPr>
          <w:rFonts w:ascii="Verdana" w:eastAsia="Calibri" w:hAnsi="Verdana" w:cs="Arial"/>
          <w:lang w:eastAsia="en-US"/>
        </w:rPr>
        <w:t xml:space="preserve"> w rozumieniu art. 24a ustawy z dnia 15 lutego 1992 r. o podatku dochodowym od osób prawnych.</w:t>
      </w:r>
    </w:p>
    <w:p w14:paraId="5B9D8272" w14:textId="77777777" w:rsidR="006E3342" w:rsidRPr="001A7899" w:rsidRDefault="006E3342" w:rsidP="006E3342">
      <w:pPr>
        <w:spacing w:after="200" w:line="276" w:lineRule="auto"/>
        <w:ind w:left="780"/>
        <w:contextualSpacing/>
        <w:textAlignment w:val="baseline"/>
        <w:rPr>
          <w:rFonts w:ascii="Verdana" w:hAnsi="Verdana" w:cs="Arial"/>
        </w:rPr>
      </w:pPr>
    </w:p>
    <w:p w14:paraId="44A230AC" w14:textId="77777777" w:rsidR="006E3342" w:rsidRPr="001A7899" w:rsidRDefault="006E3342" w:rsidP="006E3342">
      <w:pPr>
        <w:spacing w:line="276" w:lineRule="auto"/>
        <w:contextualSpacing/>
        <w:jc w:val="both"/>
        <w:rPr>
          <w:rFonts w:ascii="Verdana" w:eastAsia="Calibri" w:hAnsi="Verdana" w:cs="Arial"/>
          <w:lang w:eastAsia="en-US"/>
        </w:rPr>
      </w:pPr>
      <w:r w:rsidRPr="001A7899">
        <w:rPr>
          <w:rFonts w:ascii="Verdana" w:eastAsia="Calibri" w:hAnsi="Verdana" w:cs="Arial"/>
          <w:lang w:eastAsia="en-US"/>
        </w:rPr>
        <w:t xml:space="preserve">W przypadku zmiany powyższych danych  zobowiązuje się do niezwłocznego poinformowania Akademii Górniczo-Hutniczej im. Stanisława Staszica w Krakowie </w:t>
      </w:r>
      <w:r w:rsidRPr="001A7899">
        <w:rPr>
          <w:rFonts w:ascii="Verdana" w:eastAsia="Calibri" w:hAnsi="Verdana" w:cs="Arial"/>
          <w:lang w:eastAsia="en-US"/>
        </w:rPr>
        <w:br/>
        <w:t>o zaistniałej zmianie.</w:t>
      </w:r>
    </w:p>
    <w:p w14:paraId="1D32077C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2355E116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30A8D5F2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58246D4B" w14:textId="77777777" w:rsidR="006E3342" w:rsidRPr="001A7899" w:rsidRDefault="006E3342" w:rsidP="006E3342">
      <w:pPr>
        <w:spacing w:line="360" w:lineRule="auto"/>
        <w:contextualSpacing/>
        <w:jc w:val="both"/>
        <w:rPr>
          <w:rFonts w:ascii="Arial" w:eastAsia="Calibri" w:hAnsi="Arial" w:cs="Arial"/>
          <w:color w:val="222A35"/>
          <w:sz w:val="22"/>
          <w:szCs w:val="22"/>
          <w:lang w:val="x-none" w:eastAsia="x-none"/>
        </w:rPr>
      </w:pPr>
    </w:p>
    <w:tbl>
      <w:tblPr>
        <w:tblW w:w="0" w:type="auto"/>
        <w:tblInd w:w="4957" w:type="dxa"/>
        <w:tblLook w:val="04A0" w:firstRow="1" w:lastRow="0" w:firstColumn="1" w:lastColumn="0" w:noHBand="0" w:noVBand="1"/>
      </w:tblPr>
      <w:tblGrid>
        <w:gridCol w:w="4105"/>
      </w:tblGrid>
      <w:tr w:rsidR="006E3342" w:rsidRPr="001A7899" w14:paraId="16887E21" w14:textId="77777777" w:rsidTr="001877BA">
        <w:tc>
          <w:tcPr>
            <w:tcW w:w="4105" w:type="dxa"/>
            <w:shd w:val="clear" w:color="auto" w:fill="auto"/>
          </w:tcPr>
          <w:p w14:paraId="0881C1EC" w14:textId="77777777" w:rsidR="006E3342" w:rsidRPr="001A7899" w:rsidRDefault="006E3342" w:rsidP="001877BA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color w:val="222A35"/>
                <w:lang w:eastAsia="x-none"/>
              </w:rPr>
            </w:pPr>
            <w:r w:rsidRPr="001A7899">
              <w:rPr>
                <w:rFonts w:ascii="Verdana" w:eastAsia="Calibri" w:hAnsi="Verdana" w:cs="Arial"/>
                <w:color w:val="222A35"/>
                <w:lang w:eastAsia="x-none"/>
              </w:rPr>
              <w:t>……………………………………………………………</w:t>
            </w:r>
          </w:p>
          <w:p w14:paraId="74F92EE2" w14:textId="77777777" w:rsidR="006E3342" w:rsidRPr="001A7899" w:rsidRDefault="006E3342" w:rsidP="001877BA">
            <w:pPr>
              <w:spacing w:line="276" w:lineRule="auto"/>
              <w:contextualSpacing/>
              <w:jc w:val="center"/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</w:pPr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(pieczęć firmowa i podpis osoby upoważnionej/</w:t>
            </w:r>
            <w:proofErr w:type="spellStart"/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>ych</w:t>
            </w:r>
            <w:proofErr w:type="spellEnd"/>
            <w:r w:rsidRPr="001A7899">
              <w:rPr>
                <w:rFonts w:ascii="Verdana" w:eastAsia="Calibri" w:hAnsi="Verdana" w:cs="Arial"/>
                <w:i/>
                <w:iCs/>
                <w:color w:val="222A35"/>
                <w:sz w:val="16"/>
                <w:szCs w:val="16"/>
                <w:lang w:eastAsia="x-none"/>
              </w:rPr>
              <w:t xml:space="preserve"> do reprezentacji)</w:t>
            </w:r>
          </w:p>
        </w:tc>
      </w:tr>
    </w:tbl>
    <w:p w14:paraId="0D5B6C5E" w14:textId="77777777" w:rsidR="006E3342" w:rsidRPr="001A7899" w:rsidRDefault="006E3342" w:rsidP="006E3342">
      <w:pPr>
        <w:spacing w:line="360" w:lineRule="auto"/>
        <w:contextualSpacing/>
        <w:jc w:val="both"/>
        <w:rPr>
          <w:rFonts w:ascii="Verdana" w:eastAsia="Calibri" w:hAnsi="Verdana" w:cs="Arial"/>
          <w:color w:val="222A35"/>
          <w:lang w:eastAsia="x-none"/>
        </w:rPr>
      </w:pPr>
    </w:p>
    <w:p w14:paraId="0759045B" w14:textId="77777777" w:rsidR="006E3342" w:rsidRPr="001A7899" w:rsidRDefault="006E3342" w:rsidP="006E3342">
      <w:pPr>
        <w:widowControl w:val="0"/>
        <w:autoSpaceDE w:val="0"/>
        <w:autoSpaceDN w:val="0"/>
        <w:spacing w:line="360" w:lineRule="auto"/>
        <w:rPr>
          <w:rFonts w:ascii="Verdana" w:eastAsia="Verdana" w:hAnsi="Verdana" w:cs="Arial"/>
          <w:color w:val="222A35"/>
          <w:lang w:eastAsia="x-none"/>
        </w:rPr>
      </w:pPr>
    </w:p>
    <w:p w14:paraId="7D08BEFE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53940F5B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721E0446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0496F90E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2EDD38DF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77DB91FC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3D7C5B9F" w14:textId="77777777" w:rsidR="006E3342" w:rsidRPr="001A7899" w:rsidRDefault="006E3342" w:rsidP="006E3342">
      <w:pPr>
        <w:widowControl w:val="0"/>
        <w:autoSpaceDE w:val="0"/>
        <w:autoSpaceDN w:val="0"/>
        <w:spacing w:before="90"/>
        <w:ind w:right="110"/>
        <w:jc w:val="both"/>
        <w:outlineLvl w:val="0"/>
        <w:rPr>
          <w:rFonts w:ascii="Verdana" w:eastAsia="Verdana" w:hAnsi="Verdana" w:cs="Verdana"/>
          <w:b/>
          <w:bCs/>
          <w:lang w:eastAsia="en-US"/>
        </w:rPr>
      </w:pPr>
    </w:p>
    <w:p w14:paraId="66D3ABF7" w14:textId="77777777" w:rsidR="006E3342" w:rsidRPr="00C409B5" w:rsidRDefault="006E3342" w:rsidP="006E3342">
      <w:pPr>
        <w:pStyle w:val="Zwykytekst"/>
        <w:tabs>
          <w:tab w:val="left" w:pos="7050"/>
        </w:tabs>
        <w:rPr>
          <w:rFonts w:ascii="Verdana" w:hAnsi="Verdana" w:cs="Times New Roman"/>
          <w:i/>
          <w:iCs/>
        </w:rPr>
      </w:pPr>
    </w:p>
    <w:p w14:paraId="300A4FCD" w14:textId="77777777" w:rsidR="006E3342" w:rsidRPr="00E862A3" w:rsidRDefault="006E3342" w:rsidP="009F193A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6E3342" w:rsidRPr="00E862A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9F4D" w14:textId="77777777" w:rsidR="00C66132" w:rsidRDefault="00C66132">
      <w:r>
        <w:separator/>
      </w:r>
    </w:p>
  </w:endnote>
  <w:endnote w:type="continuationSeparator" w:id="0">
    <w:p w14:paraId="40E78A21" w14:textId="77777777" w:rsidR="00C66132" w:rsidRDefault="00C6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98CB" w14:textId="77777777" w:rsidR="00303AD4" w:rsidRDefault="00303AD4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90C7" w14:textId="77777777" w:rsidR="00C66132" w:rsidRDefault="00C66132">
      <w:r>
        <w:separator/>
      </w:r>
    </w:p>
  </w:footnote>
  <w:footnote w:type="continuationSeparator" w:id="0">
    <w:p w14:paraId="38BD58E3" w14:textId="77777777" w:rsidR="00C66132" w:rsidRDefault="00C66132">
      <w:r>
        <w:continuationSeparator/>
      </w:r>
    </w:p>
  </w:footnote>
  <w:footnote w:id="1">
    <w:p w14:paraId="61790E53" w14:textId="77777777" w:rsidR="006E3342" w:rsidRPr="001A7899" w:rsidRDefault="006E3342" w:rsidP="006E3342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2">
    <w:p w14:paraId="7C27800F" w14:textId="77777777" w:rsidR="006E3342" w:rsidRPr="00011950" w:rsidRDefault="006E3342" w:rsidP="006E334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11950">
        <w:rPr>
          <w:rFonts w:ascii="Verdana" w:hAnsi="Verdana" w:cs="Arial"/>
          <w:sz w:val="16"/>
          <w:szCs w:val="16"/>
        </w:rPr>
        <w:t xml:space="preserve"> 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Zgodnie z ustawą 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podmioty powiązane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oznaczają: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268AD99" w14:textId="77777777" w:rsidR="006E3342" w:rsidRPr="00011950" w:rsidRDefault="006E3342" w:rsidP="006E334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podmioty, z których jeden podmiot </w:t>
      </w:r>
      <w:r w:rsidRPr="00791562">
        <w:rPr>
          <w:rStyle w:val="normaltextrun"/>
          <w:rFonts w:ascii="Verdana" w:hAnsi="Verdana" w:cs="Arial"/>
          <w:color w:val="000000"/>
          <w:sz w:val="16"/>
          <w:szCs w:val="16"/>
          <w:u w:val="single"/>
        </w:rPr>
        <w:t>wywiera znaczący wpływ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 na co najmniej jeden podmiot,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4D87AA8" w14:textId="77777777" w:rsidR="006E3342" w:rsidRPr="00011950" w:rsidRDefault="006E3342" w:rsidP="006E334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podmioty, na które wywiera znaczący wpływ: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FE66217" w14:textId="77777777" w:rsidR="006E3342" w:rsidRPr="00011950" w:rsidRDefault="006E3342" w:rsidP="006E3342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ten sam inny podmiot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144DC4C8" w14:textId="77777777" w:rsidR="006E3342" w:rsidRPr="00011950" w:rsidRDefault="006E3342" w:rsidP="006E3342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małżonek, krewny lub powinowaty do drugiego stopnia osoby fizycznej wywierającej znaczący wpływ na co najmniej jeden podmiot. 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682D785" w14:textId="77777777" w:rsidR="006E3342" w:rsidRPr="00011950" w:rsidRDefault="006E3342" w:rsidP="006E33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W tym też zakresie pragniemy wskazać, że „</w:t>
      </w:r>
      <w:r w:rsidRPr="00011950">
        <w:rPr>
          <w:rStyle w:val="normaltextrun"/>
          <w:rFonts w:ascii="Verdana" w:hAnsi="Verdana" w:cs="Arial"/>
          <w:b/>
          <w:bCs/>
          <w:color w:val="000000"/>
          <w:sz w:val="16"/>
          <w:szCs w:val="16"/>
        </w:rPr>
        <w:t>wywieranie znaczącego wpływu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” oznacza: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492B8E5" w14:textId="77777777" w:rsidR="006E3342" w:rsidRPr="00011950" w:rsidRDefault="006E3342" w:rsidP="006E3342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Arial"/>
          <w:color w:val="000000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posiadanie bezpośrednio lub pośrednio co najmniej 25%:</w:t>
      </w:r>
      <w:r w:rsidRPr="00011950">
        <w:rPr>
          <w:rStyle w:val="normaltextrun"/>
          <w:rFonts w:ascii="Verdana" w:hAnsi="Verdana" w:cs="Arial"/>
          <w:sz w:val="16"/>
          <w:szCs w:val="16"/>
        </w:rPr>
        <w:t> </w:t>
      </w:r>
    </w:p>
    <w:p w14:paraId="6BCC1024" w14:textId="77777777" w:rsidR="006E3342" w:rsidRPr="00011950" w:rsidRDefault="006E3342" w:rsidP="006E3342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udziałów w kapitale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0E9424F3" w14:textId="77777777" w:rsidR="006E3342" w:rsidRPr="00011950" w:rsidRDefault="006E3342" w:rsidP="006E3342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praw głosu w organach kontrolnych, stanowiących lub zarządzających,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645A3918" w14:textId="77777777" w:rsidR="006E3342" w:rsidRPr="00011950" w:rsidRDefault="006E3342" w:rsidP="006E3342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 xml:space="preserve">udziałów lub praw do udziału w zyskach lub majątku lub ich 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ekspektatywy, w tym jednostek uczestnictwa i certyfikatów inwestycyjnych,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744D3E1C" w14:textId="77777777" w:rsidR="006E3342" w:rsidRPr="00011950" w:rsidRDefault="006E3342" w:rsidP="006E3342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faktyczną zdolność osoby fizycznej do wpływania na podejmowanie kluczowych decyzji gospodarczych przez osobę prawną lub jednostkę organizacyjną nieposiadającą osobowości prawnej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  <w:vertAlign w:val="superscript"/>
        </w:rPr>
        <w:t>1</w:t>
      </w: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, lub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  <w:p w14:paraId="5254A3B1" w14:textId="77777777" w:rsidR="006E3342" w:rsidRPr="005F4BFA" w:rsidRDefault="006E3342" w:rsidP="006E3342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011950">
        <w:rPr>
          <w:rStyle w:val="normaltextrun"/>
          <w:rFonts w:ascii="Verdana" w:hAnsi="Verdana" w:cs="Arial"/>
          <w:color w:val="000000"/>
          <w:sz w:val="16"/>
          <w:szCs w:val="16"/>
        </w:rPr>
        <w:t>pozostawanie w związku małżeńskim albo występowanie pokrewieństwa lub powinowactwa do drugiego stopnia.</w:t>
      </w:r>
      <w:r w:rsidRPr="00011950">
        <w:rPr>
          <w:rStyle w:val="eop"/>
          <w:rFonts w:ascii="Verdana" w:hAnsi="Verdana" w:cs="Arial"/>
          <w:color w:val="000000"/>
          <w:sz w:val="16"/>
          <w:szCs w:val="16"/>
        </w:rPr>
        <w:t> </w:t>
      </w:r>
    </w:p>
  </w:footnote>
  <w:footnote w:id="3">
    <w:p w14:paraId="1418B052" w14:textId="77777777" w:rsidR="006E3342" w:rsidRPr="001A7899" w:rsidRDefault="006E3342" w:rsidP="006E3342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</w:t>
      </w:r>
      <w:r w:rsidRPr="001A7899">
        <w:rPr>
          <w:rFonts w:ascii="Verdana" w:hAnsi="Verdana" w:cs="Arial"/>
          <w:sz w:val="16"/>
          <w:szCs w:val="16"/>
        </w:rPr>
        <w:t>Niewłaściwe skreślić</w:t>
      </w:r>
      <w:r w:rsidRPr="001A7899">
        <w:rPr>
          <w:rFonts w:ascii="Verdana" w:hAnsi="Verdana"/>
          <w:sz w:val="16"/>
          <w:szCs w:val="16"/>
        </w:rPr>
        <w:t>;</w:t>
      </w:r>
    </w:p>
  </w:footnote>
  <w:footnote w:id="4">
    <w:p w14:paraId="1230E64D" w14:textId="77777777" w:rsidR="006E3342" w:rsidRPr="001A7899" w:rsidRDefault="006E3342" w:rsidP="006E3342">
      <w:pPr>
        <w:pStyle w:val="Tekstprzypisudolnego"/>
        <w:jc w:val="both"/>
        <w:rPr>
          <w:rFonts w:ascii="Verdana" w:hAnsi="Verdana"/>
          <w:color w:val="FF0000"/>
          <w:sz w:val="16"/>
          <w:szCs w:val="16"/>
        </w:rPr>
      </w:pPr>
      <w:r w:rsidRPr="0008296E">
        <w:rPr>
          <w:rStyle w:val="Odwoanieprzypisudolnego"/>
          <w:rFonts w:ascii="Verdana" w:hAnsi="Verdana"/>
          <w:color w:val="000000"/>
          <w:sz w:val="16"/>
          <w:szCs w:val="16"/>
        </w:rPr>
        <w:footnoteRef/>
      </w:r>
      <w:r w:rsidRPr="001A7899">
        <w:rPr>
          <w:rFonts w:ascii="Verdana" w:hAnsi="Verdana"/>
          <w:color w:val="FF0000"/>
          <w:sz w:val="16"/>
          <w:szCs w:val="16"/>
        </w:rPr>
        <w:t xml:space="preserve"> </w:t>
      </w:r>
      <w:r w:rsidRPr="001A7899">
        <w:rPr>
          <w:rFonts w:ascii="Verdana" w:hAnsi="Verdana"/>
          <w:sz w:val="16"/>
          <w:szCs w:val="16"/>
        </w:rPr>
        <w:t xml:space="preserve">WYKAZ KRAJÓW I TERYTORIÓW STOSUJĄCYCH SZKODLIWĄ KONKURENCJĘ: Księstwo Andory; Anguilla – Terytorium Zamorskie Zjednoczonego Królestwa Wielkiej Brytanii i Irlandii Północnej; Antigua i Barbuda; </w:t>
      </w:r>
      <w:r w:rsidRPr="001A7899">
        <w:rPr>
          <w:rFonts w:ascii="Verdana" w:hAnsi="Verdana"/>
          <w:sz w:val="16"/>
          <w:szCs w:val="16"/>
        </w:rPr>
        <w:t>Sint-Maarten, Curaçao – kraje wchodzące w skład Królestwa Niderlandów; Królestwo Bahrajnu; Brytyjskie Wyspy Dziewicze – Terytorium Zamorskie Zjednoczonego Królestwa Wielkiej Brytanii i Irlandii Północnej; Wyspy Cooka – Samorządne Terytorium Stowarzyszone z Nową Zelandią; Wspólnota Dominiki; Grenada; Sark – Terytorium Zależne Korony Brytyjskiej; Hongkong – Specjalny Region Administracyjny Chińskiej Republiki Ludowej; Republika Liberii; Makau – Specjalny Region Administracyjny Chińskiej Republiki Ludowej; Republika Malediwów; Republika Wysp Marshalla; Republika Mauritiusu; Księstwo Monako; Republika Nauru; Niue – Samorządne Terytorium Stowarzyszone z Nową Zelandią; Republika Panamy; Niezależne Państwo Samoa; Republika Seszeli; Saint Lucia; Królestwo Tonga; Wyspy Dziewicze Stanów Zjednoczonych – Terytorium Nieinkorporowane Stanów Zjednoczonych;  Republika Vanuatu; Republika Fidżi; Guam; Republika Palau; Republika Trynidadu i Tobago; Samoa Amerykańskie</w:t>
      </w:r>
      <w:r w:rsidRPr="001A7899" w:rsidDel="00115C56">
        <w:rPr>
          <w:rFonts w:ascii="Verdana" w:hAnsi="Verdana"/>
          <w:sz w:val="16"/>
          <w:szCs w:val="16"/>
        </w:rPr>
        <w:t xml:space="preserve"> </w:t>
      </w:r>
    </w:p>
  </w:footnote>
  <w:footnote w:id="5">
    <w:p w14:paraId="78FFC766" w14:textId="77777777" w:rsidR="006E3342" w:rsidRPr="001A7899" w:rsidRDefault="006E3342" w:rsidP="006E3342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Zgodnie z art. 4a ust. 1 pkt 29 Ustawy o CIT rzeczywistym właścicielem jest podmiot, który spełnia łącznie następujące warunki:</w:t>
      </w:r>
    </w:p>
    <w:p w14:paraId="07919370" w14:textId="77777777" w:rsidR="006E3342" w:rsidRPr="001A7899" w:rsidRDefault="006E3342" w:rsidP="006E3342">
      <w:pPr>
        <w:pStyle w:val="Tekstprzypisudolnego"/>
        <w:numPr>
          <w:ilvl w:val="0"/>
          <w:numId w:val="14"/>
        </w:numPr>
        <w:ind w:left="426" w:hanging="284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otrzymuje należność dla własnej korzyści, w tym decyduje samodzielnie o jej przeznaczeniu i ponosi ryzyko ekonomiczne związane z utratą tej należności lub jej części;</w:t>
      </w:r>
    </w:p>
    <w:p w14:paraId="76D1DB11" w14:textId="77777777" w:rsidR="006E3342" w:rsidRPr="001A7899" w:rsidRDefault="006E3342" w:rsidP="006E3342">
      <w:pPr>
        <w:pStyle w:val="Tekstprzypisudolnego"/>
        <w:numPr>
          <w:ilvl w:val="0"/>
          <w:numId w:val="14"/>
        </w:numPr>
        <w:ind w:left="426" w:hanging="284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nie jest pośrednikiem, przedstawicielem, powiernikiem lub innym podmiotem zobowiązanym prawnie lub faktycznie do przekazania całości lub części należności innemu podmiotowi;</w:t>
      </w:r>
    </w:p>
    <w:p w14:paraId="6BCE21E5" w14:textId="77777777" w:rsidR="006E3342" w:rsidRPr="001A7899" w:rsidRDefault="006E3342" w:rsidP="006E3342">
      <w:pPr>
        <w:pStyle w:val="Tekstprzypisudolnego"/>
        <w:numPr>
          <w:ilvl w:val="0"/>
          <w:numId w:val="14"/>
        </w:numPr>
        <w:ind w:left="426" w:hanging="284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prowadzi rzeczywistą działalność gospodarczą w kraju siedziby, jeżeli należności uzyskiwane są w związku z prowadzoną działalnością gospodarczą, przy czym przy ocenie, czy podmiot prowadzi rzeczywistą działalność gospodarczą, przepis art. 24a ust. 18 Ustawy o CIT stosuje się odpowiednio.</w:t>
      </w:r>
    </w:p>
  </w:footnote>
  <w:footnote w:id="6">
    <w:p w14:paraId="5DF73ECF" w14:textId="77777777" w:rsidR="006E3342" w:rsidRPr="001A7899" w:rsidRDefault="006E3342" w:rsidP="006E3342">
      <w:pPr>
        <w:pStyle w:val="Tekstprzypisudolnego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</w:t>
      </w:r>
      <w:r w:rsidRPr="001A7899">
        <w:rPr>
          <w:rFonts w:ascii="Verdana" w:hAnsi="Verdana" w:cs="Arial"/>
          <w:sz w:val="16"/>
          <w:szCs w:val="16"/>
        </w:rPr>
        <w:t>Niewłaściwe skreślić</w:t>
      </w:r>
      <w:r w:rsidRPr="001A7899">
        <w:rPr>
          <w:rFonts w:ascii="Verdana" w:hAnsi="Verdana"/>
          <w:sz w:val="16"/>
          <w:szCs w:val="16"/>
        </w:rPr>
        <w:t>;</w:t>
      </w:r>
    </w:p>
  </w:footnote>
  <w:footnote w:id="7">
    <w:p w14:paraId="71316556" w14:textId="77777777" w:rsidR="006E3342" w:rsidRPr="001A7899" w:rsidRDefault="006E3342" w:rsidP="006E3342">
      <w:pPr>
        <w:pStyle w:val="Tekstprzypisudolnego"/>
        <w:rPr>
          <w:rFonts w:ascii="Verdana" w:hAnsi="Verdana" w:cs="Arial"/>
          <w:sz w:val="16"/>
          <w:szCs w:val="16"/>
        </w:rPr>
      </w:pPr>
      <w:r w:rsidRPr="00011950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1A7899">
        <w:rPr>
          <w:rFonts w:ascii="Verdana" w:hAnsi="Verdana" w:cs="Arial"/>
          <w:sz w:val="16"/>
          <w:szCs w:val="16"/>
        </w:rPr>
        <w:t xml:space="preserve"> Niewłaściwe skreślić;</w:t>
      </w:r>
    </w:p>
  </w:footnote>
  <w:footnote w:id="8">
    <w:p w14:paraId="0F0981CA" w14:textId="77777777" w:rsidR="006E3342" w:rsidRPr="001A7899" w:rsidRDefault="006E3342" w:rsidP="006E334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11950">
        <w:rPr>
          <w:rStyle w:val="Odwoanieprzypisudolnego"/>
          <w:rFonts w:ascii="Verdana" w:hAnsi="Verdana"/>
          <w:sz w:val="16"/>
          <w:szCs w:val="16"/>
        </w:rPr>
        <w:footnoteRef/>
      </w:r>
      <w:r w:rsidRPr="001A7899">
        <w:rPr>
          <w:rFonts w:ascii="Verdana" w:hAnsi="Verdana"/>
          <w:sz w:val="16"/>
          <w:szCs w:val="16"/>
        </w:rPr>
        <w:t xml:space="preserve"> zagraniczna jednostka - oznacza:</w:t>
      </w:r>
    </w:p>
    <w:p w14:paraId="7AC4EB6F" w14:textId="77777777" w:rsidR="006E3342" w:rsidRPr="001A7899" w:rsidRDefault="006E3342" w:rsidP="006E334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a) osobę prawną,</w:t>
      </w:r>
    </w:p>
    <w:p w14:paraId="6F890558" w14:textId="77777777" w:rsidR="006E3342" w:rsidRPr="001A7899" w:rsidRDefault="006E3342" w:rsidP="006E334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b) spółkę kapitałową w organizacji,</w:t>
      </w:r>
    </w:p>
    <w:p w14:paraId="769F0344" w14:textId="77777777" w:rsidR="006E3342" w:rsidRPr="001A7899" w:rsidRDefault="006E3342" w:rsidP="006E334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c) jednostkę organizacyjną niemającą osobowości prawnej inną niż spółka niemająca osobowości prawnej,</w:t>
      </w:r>
    </w:p>
    <w:p w14:paraId="4D4D431C" w14:textId="77777777" w:rsidR="006E3342" w:rsidRPr="001A7899" w:rsidRDefault="006E3342" w:rsidP="006E334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d) spółkę niemającą osobowości prawnej, o której mowa w art. 1 ust. 3 pkt 2,</w:t>
      </w:r>
    </w:p>
    <w:p w14:paraId="2814694F" w14:textId="77777777" w:rsidR="006E3342" w:rsidRPr="001A7899" w:rsidRDefault="006E3342" w:rsidP="006E3342">
      <w:pPr>
        <w:pStyle w:val="Tekstprzypisudolnego"/>
        <w:ind w:firstLine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e) fundację, trust lub inny podmiot albo stosunek prawny o charakterze powierniczym,</w:t>
      </w:r>
    </w:p>
    <w:p w14:paraId="3218B0E6" w14:textId="77777777" w:rsidR="006E3342" w:rsidRPr="001A7899" w:rsidRDefault="006E3342" w:rsidP="006E3342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f) podatkową grupę kapitałową lub spółkę z podatkowej grupy kapitałowej, która samodzielnie spełniałaby warunek, o którym mowa w ust. 3 pkt 3 lit. c, gdyby nie była częścią podatkowej grupy kapitałowej,</w:t>
      </w:r>
    </w:p>
    <w:p w14:paraId="7847400B" w14:textId="77777777" w:rsidR="006E3342" w:rsidRPr="001A7899" w:rsidRDefault="006E3342" w:rsidP="006E3342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>g )wydzieloną organizacyjnie lub prawnie część zagranicznej spółki lub innego podmiotu mającego osobowość prawną albo niemającego osobowości prawnej</w:t>
      </w:r>
    </w:p>
    <w:p w14:paraId="6070D3B1" w14:textId="77777777" w:rsidR="006E3342" w:rsidRPr="001A7899" w:rsidRDefault="006E3342" w:rsidP="006E3342">
      <w:pPr>
        <w:pStyle w:val="Tekstprzypisudolnego"/>
        <w:ind w:left="284" w:hanging="142"/>
        <w:jc w:val="both"/>
        <w:rPr>
          <w:rFonts w:ascii="Verdana" w:hAnsi="Verdana"/>
          <w:sz w:val="16"/>
          <w:szCs w:val="16"/>
        </w:rPr>
      </w:pPr>
      <w:r w:rsidRPr="001A7899">
        <w:rPr>
          <w:rFonts w:ascii="Verdana" w:hAnsi="Verdana"/>
          <w:sz w:val="16"/>
          <w:szCs w:val="16"/>
        </w:rPr>
        <w:t xml:space="preserve">–  nieposiadające siedziby, zarządu ani rejestracji na terytorium Rzeczypospolitej Polskiej, w których podatnik, o którym mowa w art. 3 ust. 1, samodzielnie lub wspólnie z podmiotami powiązanymi, posiada, bezpośrednio lub pośrednio, udział w kapitale, prawo głosu w organach kontrolnych, stanowiących lub zarządzających lub prawo do uczestnictwa w zysku, w tym ich </w:t>
      </w:r>
      <w:r w:rsidRPr="001A7899">
        <w:rPr>
          <w:rFonts w:ascii="Verdana" w:hAnsi="Verdana"/>
          <w:sz w:val="16"/>
          <w:szCs w:val="16"/>
        </w:rPr>
        <w:t>ekspektatywę, lub w których w przyszłości będzie uprawniony do nabycia takich praw, w tym jako założyciel (fundator) lub beneficjent fundacji, trustu lub innego podmiotu albo stosunku prawnego o charakterze powierniczym, lub nad którymi podatnik sprawuje kontrolę faktyczną.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033F" w14:textId="4B9E4F39" w:rsidR="002B48C0" w:rsidRPr="002B48C0" w:rsidRDefault="002B48C0" w:rsidP="00287E8D">
    <w:pPr>
      <w:tabs>
        <w:tab w:val="center" w:pos="4536"/>
        <w:tab w:val="right" w:pos="9072"/>
      </w:tabs>
      <w:jc w:val="right"/>
      <w:rPr>
        <w:sz w:val="22"/>
        <w:szCs w:val="22"/>
      </w:rPr>
    </w:pPr>
    <w:r w:rsidRPr="002B48C0">
      <w:rPr>
        <w:sz w:val="22"/>
        <w:szCs w:val="22"/>
      </w:rPr>
      <w:t xml:space="preserve">Załącznik </w:t>
    </w:r>
    <w:r w:rsidR="00287E8D">
      <w:rPr>
        <w:sz w:val="22"/>
        <w:szCs w:val="22"/>
      </w:rPr>
      <w:t>nr 3</w:t>
    </w:r>
    <w:r w:rsidR="007F71FB">
      <w:rPr>
        <w:sz w:val="22"/>
        <w:szCs w:val="22"/>
      </w:rPr>
      <w:t>a</w:t>
    </w:r>
  </w:p>
  <w:p w14:paraId="6262536A" w14:textId="77777777" w:rsidR="00303AD4" w:rsidRDefault="00303AD4">
    <w:pP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5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909D7"/>
    <w:multiLevelType w:val="hybridMultilevel"/>
    <w:tmpl w:val="6A9076C0"/>
    <w:lvl w:ilvl="0" w:tplc="0415000F">
      <w:start w:val="1"/>
      <w:numFmt w:val="decimal"/>
      <w:lvlText w:val="%1."/>
      <w:lvlJc w:val="left"/>
      <w:pPr>
        <w:ind w:left="23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9E0"/>
    <w:multiLevelType w:val="hybridMultilevel"/>
    <w:tmpl w:val="31921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06D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3B4CC9"/>
    <w:multiLevelType w:val="hybridMultilevel"/>
    <w:tmpl w:val="71A8BBAE"/>
    <w:lvl w:ilvl="0" w:tplc="12ACA908">
      <w:start w:val="1"/>
      <w:numFmt w:val="decimal"/>
      <w:lvlText w:val="%1."/>
      <w:lvlJc w:val="left"/>
      <w:pPr>
        <w:ind w:left="23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D5AF9"/>
    <w:multiLevelType w:val="hybridMultilevel"/>
    <w:tmpl w:val="756C2CFE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804D96"/>
    <w:multiLevelType w:val="hybridMultilevel"/>
    <w:tmpl w:val="4F48092C"/>
    <w:lvl w:ilvl="0" w:tplc="373A278C">
      <w:start w:val="1"/>
      <w:numFmt w:val="decimal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11C4F"/>
    <w:multiLevelType w:val="hybridMultilevel"/>
    <w:tmpl w:val="74D80AE6"/>
    <w:lvl w:ilvl="0" w:tplc="0415000F">
      <w:start w:val="1"/>
      <w:numFmt w:val="decimal"/>
      <w:lvlText w:val="%1."/>
      <w:lvlJc w:val="left"/>
      <w:pPr>
        <w:ind w:left="23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D1"/>
    <w:rsid w:val="00004C1A"/>
    <w:rsid w:val="000139E5"/>
    <w:rsid w:val="000239AD"/>
    <w:rsid w:val="000306D1"/>
    <w:rsid w:val="000E7BE9"/>
    <w:rsid w:val="00287E8D"/>
    <w:rsid w:val="002B48C0"/>
    <w:rsid w:val="002C5A35"/>
    <w:rsid w:val="002E4F2F"/>
    <w:rsid w:val="00303AD4"/>
    <w:rsid w:val="0035074F"/>
    <w:rsid w:val="005168A0"/>
    <w:rsid w:val="00532B8B"/>
    <w:rsid w:val="0053767F"/>
    <w:rsid w:val="005B68C6"/>
    <w:rsid w:val="005B7346"/>
    <w:rsid w:val="00691766"/>
    <w:rsid w:val="006B1B3F"/>
    <w:rsid w:val="006E3342"/>
    <w:rsid w:val="006F2A86"/>
    <w:rsid w:val="00701678"/>
    <w:rsid w:val="00736C2D"/>
    <w:rsid w:val="007D6769"/>
    <w:rsid w:val="007F71FB"/>
    <w:rsid w:val="00802BA9"/>
    <w:rsid w:val="0081314B"/>
    <w:rsid w:val="008424F2"/>
    <w:rsid w:val="00890590"/>
    <w:rsid w:val="008B79C4"/>
    <w:rsid w:val="008E7FCD"/>
    <w:rsid w:val="00903944"/>
    <w:rsid w:val="00937E31"/>
    <w:rsid w:val="009F193A"/>
    <w:rsid w:val="00AF5A04"/>
    <w:rsid w:val="00B34256"/>
    <w:rsid w:val="00BE2DF1"/>
    <w:rsid w:val="00C268FE"/>
    <w:rsid w:val="00C66132"/>
    <w:rsid w:val="00C67F16"/>
    <w:rsid w:val="00CC2602"/>
    <w:rsid w:val="00D86C7C"/>
    <w:rsid w:val="00DE1A76"/>
    <w:rsid w:val="00E26FC6"/>
    <w:rsid w:val="00E862A3"/>
    <w:rsid w:val="00EC016E"/>
    <w:rsid w:val="00F2452F"/>
    <w:rsid w:val="00F7162B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E4013"/>
  <w15:docId w15:val="{BBBFBFEB-7748-4120-8D44-259A5ED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93A"/>
  </w:style>
  <w:style w:type="paragraph" w:styleId="Nagwek1">
    <w:name w:val="heading 1"/>
    <w:basedOn w:val="Normalny"/>
    <w:next w:val="Normalny"/>
    <w:link w:val="Nagwek1Znak"/>
    <w:qFormat/>
    <w:rsid w:val="00303A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39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E2DF1"/>
    <w:rPr>
      <w:rFonts w:ascii="Courier New" w:hAnsi="Courier New" w:cs="Courier New"/>
    </w:rPr>
  </w:style>
  <w:style w:type="paragraph" w:styleId="Stopka">
    <w:name w:val="footer"/>
    <w:basedOn w:val="Normalny"/>
    <w:rsid w:val="00303AD4"/>
    <w:pPr>
      <w:widowControl w:val="0"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3AD4"/>
    <w:pPr>
      <w:widowControl w:val="0"/>
      <w:spacing w:line="360" w:lineRule="auto"/>
    </w:pPr>
    <w:rPr>
      <w:b/>
    </w:rPr>
  </w:style>
  <w:style w:type="character" w:customStyle="1" w:styleId="Nagwek3Znak">
    <w:name w:val="Nagłówek 3 Znak"/>
    <w:link w:val="Nagwek3"/>
    <w:uiPriority w:val="9"/>
    <w:semiHidden/>
    <w:rsid w:val="000239A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0239AD"/>
    <w:rPr>
      <w:rFonts w:ascii="Arial" w:hAnsi="Arial" w:cs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39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AD"/>
  </w:style>
  <w:style w:type="character" w:styleId="Odwoanieprzypisudolnego">
    <w:name w:val="footnote reference"/>
    <w:uiPriority w:val="99"/>
    <w:semiHidden/>
    <w:rsid w:val="000239AD"/>
    <w:rPr>
      <w:vertAlign w:val="superscript"/>
    </w:rPr>
  </w:style>
  <w:style w:type="character" w:customStyle="1" w:styleId="TekstpodstawowyZnak">
    <w:name w:val="Tekst podstawowy Znak"/>
    <w:link w:val="Tekstpodstawowy"/>
    <w:rsid w:val="000239AD"/>
    <w:rPr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3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9E5"/>
    <w:rPr>
      <w:sz w:val="24"/>
      <w:szCs w:val="24"/>
    </w:rPr>
  </w:style>
  <w:style w:type="character" w:customStyle="1" w:styleId="ZwykytekstZnak">
    <w:name w:val="Zwykły tekst Znak"/>
    <w:link w:val="Zwykytekst"/>
    <w:rsid w:val="009F193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7BE9"/>
    <w:pPr>
      <w:ind w:left="720"/>
      <w:contextualSpacing/>
    </w:pPr>
  </w:style>
  <w:style w:type="paragraph" w:customStyle="1" w:styleId="paragraph">
    <w:name w:val="paragraph"/>
    <w:basedOn w:val="Normalny"/>
    <w:rsid w:val="006E334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6E3342"/>
  </w:style>
  <w:style w:type="character" w:customStyle="1" w:styleId="eop">
    <w:name w:val="eop"/>
    <w:basedOn w:val="Domylnaczcionkaakapitu"/>
    <w:rsid w:val="006E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ta.Oleks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01DB-5355-4B2F-9E4B-907F70B7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7</Pages>
  <Words>1626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Joanna Kraińska</dc:creator>
  <cp:keywords/>
  <dc:description/>
  <cp:lastModifiedBy>Jolata Oleksy</cp:lastModifiedBy>
  <cp:revision>7</cp:revision>
  <cp:lastPrinted>2020-12-14T08:04:00Z</cp:lastPrinted>
  <dcterms:created xsi:type="dcterms:W3CDTF">2022-12-19T12:27:00Z</dcterms:created>
  <dcterms:modified xsi:type="dcterms:W3CDTF">2022-12-21T10:24:00Z</dcterms:modified>
</cp:coreProperties>
</file>