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26EFF7" w14:textId="4E7B6221" w:rsidR="00BF4A42" w:rsidRDefault="00506F09">
      <w:pPr>
        <w:pStyle w:val="Tekstpodstawowy"/>
        <w:spacing w:line="276" w:lineRule="auto"/>
        <w:contextualSpacing/>
        <w:jc w:val="both"/>
        <w:rPr>
          <w:rFonts w:ascii="Book Antiqua" w:hAnsi="Book Antiqua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Znak sprawy:  </w:t>
      </w:r>
      <w:r w:rsidR="00F20BEA">
        <w:rPr>
          <w:rFonts w:ascii="Arial" w:hAnsi="Arial" w:cs="Arial"/>
          <w:b/>
          <w:sz w:val="22"/>
          <w:szCs w:val="22"/>
        </w:rPr>
        <w:t xml:space="preserve"> </w:t>
      </w:r>
      <w:r w:rsidR="00746A44">
        <w:rPr>
          <w:rFonts w:ascii="Arial" w:hAnsi="Arial" w:cs="Arial"/>
          <w:b/>
          <w:sz w:val="22"/>
          <w:szCs w:val="22"/>
          <w:lang w:val="pl-PL"/>
        </w:rPr>
        <w:t>CRZP/</w:t>
      </w:r>
      <w:r w:rsidR="00096A1D">
        <w:rPr>
          <w:rFonts w:ascii="Arial" w:hAnsi="Arial" w:cs="Arial"/>
          <w:b/>
          <w:sz w:val="22"/>
          <w:szCs w:val="22"/>
          <w:lang w:val="pl-PL"/>
        </w:rPr>
        <w:t>220/</w:t>
      </w:r>
      <w:r w:rsidR="00746A44">
        <w:rPr>
          <w:rFonts w:ascii="Arial" w:hAnsi="Arial" w:cs="Arial"/>
          <w:b/>
          <w:sz w:val="22"/>
          <w:szCs w:val="22"/>
          <w:lang w:val="pl-PL"/>
        </w:rPr>
        <w:t>20</w:t>
      </w:r>
      <w:r w:rsidR="00096A1D">
        <w:rPr>
          <w:rFonts w:ascii="Arial" w:hAnsi="Arial" w:cs="Arial"/>
          <w:b/>
          <w:sz w:val="22"/>
          <w:szCs w:val="22"/>
          <w:lang w:val="pl-PL"/>
        </w:rPr>
        <w:t>22</w:t>
      </w:r>
      <w:r w:rsidR="00746A44">
        <w:rPr>
          <w:rFonts w:ascii="Arial" w:hAnsi="Arial" w:cs="Arial"/>
          <w:b/>
          <w:sz w:val="22"/>
          <w:szCs w:val="22"/>
          <w:lang w:val="pl-PL"/>
        </w:rPr>
        <w:t>/A</w:t>
      </w:r>
      <w:r w:rsidR="00096A1D">
        <w:rPr>
          <w:rFonts w:ascii="Arial" w:hAnsi="Arial" w:cs="Arial"/>
          <w:b/>
          <w:sz w:val="22"/>
          <w:szCs w:val="22"/>
          <w:lang w:val="pl-PL"/>
        </w:rPr>
        <w:t>ZP</w:t>
      </w:r>
      <w:r>
        <w:rPr>
          <w:rFonts w:ascii="Arial" w:hAnsi="Arial" w:cs="Arial"/>
          <w:b/>
          <w:szCs w:val="24"/>
          <w:lang w:val="pl-PL"/>
        </w:rPr>
        <w:t xml:space="preserve">            </w:t>
      </w:r>
      <w:r w:rsidR="00096A1D">
        <w:rPr>
          <w:rFonts w:ascii="Arial" w:hAnsi="Arial" w:cs="Arial"/>
          <w:b/>
          <w:szCs w:val="24"/>
          <w:lang w:val="pl-PL"/>
        </w:rPr>
        <w:tab/>
      </w:r>
      <w:r>
        <w:rPr>
          <w:rFonts w:ascii="Arial Narrow" w:hAnsi="Arial Narrow" w:cs="Arial Narrow"/>
        </w:rPr>
        <w:t>Zał. Nr „</w:t>
      </w:r>
      <w:r w:rsidR="00096A1D">
        <w:rPr>
          <w:rFonts w:ascii="Arial Narrow" w:hAnsi="Arial Narrow" w:cs="Arial Narrow"/>
          <w:lang w:val="pl-PL"/>
        </w:rPr>
        <w:t>6</w:t>
      </w:r>
      <w:r>
        <w:rPr>
          <w:rFonts w:ascii="Arial Narrow" w:hAnsi="Arial Narrow" w:cs="Arial Narrow"/>
        </w:rPr>
        <w:t xml:space="preserve">” do </w:t>
      </w:r>
      <w:r w:rsidR="00BB13BD">
        <w:rPr>
          <w:rFonts w:ascii="Arial Narrow" w:hAnsi="Arial Narrow" w:cs="Arial Narrow"/>
          <w:lang w:val="pl-PL"/>
        </w:rPr>
        <w:t>umowy</w:t>
      </w:r>
      <w:bookmarkStart w:id="0" w:name="_GoBack"/>
      <w:bookmarkEnd w:id="0"/>
      <w:r>
        <w:rPr>
          <w:rFonts w:ascii="Arial Narrow" w:hAnsi="Arial Narrow" w:cs="Arial Narrow"/>
        </w:rPr>
        <w:tab/>
      </w:r>
      <w:r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bCs/>
          <w:sz w:val="22"/>
          <w:szCs w:val="22"/>
        </w:rPr>
        <w:t>Gd</w:t>
      </w:r>
      <w:r w:rsidR="00746A44">
        <w:rPr>
          <w:rFonts w:ascii="Book Antiqua" w:hAnsi="Book Antiqua"/>
          <w:bCs/>
          <w:sz w:val="22"/>
          <w:szCs w:val="22"/>
          <w:lang w:val="pl-PL"/>
        </w:rPr>
        <w:t>ynia</w:t>
      </w:r>
      <w:r>
        <w:rPr>
          <w:rFonts w:ascii="Book Antiqua" w:hAnsi="Book Antiqua"/>
          <w:bCs/>
          <w:sz w:val="22"/>
          <w:szCs w:val="22"/>
        </w:rPr>
        <w:t>, dnia ………………………..</w:t>
      </w:r>
    </w:p>
    <w:p w14:paraId="56D09153" w14:textId="77777777" w:rsidR="00BF4A42" w:rsidRPr="00746A44" w:rsidRDefault="00BF4A42">
      <w:pPr>
        <w:rPr>
          <w:rFonts w:ascii="Book Antiqua" w:hAnsi="Book Antiqua"/>
          <w:b/>
          <w:bCs/>
          <w:sz w:val="22"/>
          <w:szCs w:val="22"/>
          <w:lang w:val="x-none"/>
        </w:rPr>
      </w:pPr>
    </w:p>
    <w:p w14:paraId="1A640425" w14:textId="77777777" w:rsidR="00BF4A42" w:rsidRDefault="00506F09">
      <w:pPr>
        <w:contextualSpacing/>
        <w:rPr>
          <w:rFonts w:ascii="Book Antiqua" w:hAnsi="Book Antiqua"/>
          <w:bCs/>
          <w:sz w:val="22"/>
          <w:szCs w:val="22"/>
        </w:rPr>
      </w:pPr>
      <w:r>
        <w:rPr>
          <w:rFonts w:ascii="Book Antiqua" w:hAnsi="Book Antiqua"/>
          <w:bCs/>
          <w:sz w:val="22"/>
          <w:szCs w:val="22"/>
        </w:rPr>
        <w:t>…………………………………………</w:t>
      </w:r>
    </w:p>
    <w:p w14:paraId="09FFB94A" w14:textId="77777777" w:rsidR="00BF4A42" w:rsidRDefault="00506F09">
      <w:pPr>
        <w:contextualSpacing/>
        <w:rPr>
          <w:rFonts w:ascii="Book Antiqua" w:hAnsi="Book Antiqua"/>
          <w:bCs/>
          <w:i/>
          <w:sz w:val="22"/>
          <w:szCs w:val="22"/>
        </w:rPr>
      </w:pPr>
      <w:r>
        <w:rPr>
          <w:rFonts w:ascii="Book Antiqua" w:hAnsi="Book Antiqua"/>
          <w:bCs/>
          <w:i/>
          <w:sz w:val="22"/>
          <w:szCs w:val="22"/>
        </w:rPr>
        <w:t>(pieczątka nagłówkowa Podwykonawcy)</w:t>
      </w:r>
    </w:p>
    <w:p w14:paraId="3274080D" w14:textId="77777777" w:rsidR="00BF4A42" w:rsidRDefault="00BF4A42">
      <w:pPr>
        <w:contextualSpacing/>
        <w:jc w:val="center"/>
        <w:rPr>
          <w:rFonts w:ascii="Book Antiqua" w:hAnsi="Book Antiqua"/>
          <w:b/>
          <w:sz w:val="22"/>
          <w:szCs w:val="22"/>
        </w:rPr>
      </w:pPr>
    </w:p>
    <w:p w14:paraId="2865AF18" w14:textId="77777777" w:rsidR="00BF4A42" w:rsidRDefault="00BF4A42">
      <w:pPr>
        <w:contextualSpacing/>
        <w:jc w:val="center"/>
        <w:rPr>
          <w:rFonts w:ascii="Book Antiqua" w:hAnsi="Book Antiqua"/>
          <w:b/>
          <w:sz w:val="22"/>
          <w:szCs w:val="22"/>
        </w:rPr>
      </w:pPr>
    </w:p>
    <w:p w14:paraId="5FFAF36C" w14:textId="77777777" w:rsidR="00BF4A42" w:rsidRDefault="00506F09">
      <w:pPr>
        <w:contextualSpacing/>
        <w:jc w:val="center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>KARTA GWARANCYJNA</w:t>
      </w:r>
    </w:p>
    <w:p w14:paraId="39596FEB" w14:textId="77777777" w:rsidR="00BF4A42" w:rsidRDefault="00BF4A42">
      <w:pPr>
        <w:contextualSpacing/>
        <w:jc w:val="both"/>
        <w:rPr>
          <w:rFonts w:ascii="Book Antiqua" w:hAnsi="Book Antiqua"/>
          <w:sz w:val="22"/>
          <w:szCs w:val="22"/>
        </w:rPr>
      </w:pPr>
    </w:p>
    <w:p w14:paraId="3727639D" w14:textId="76B5ABC4" w:rsidR="00BF4A42" w:rsidRPr="00746A44" w:rsidRDefault="00506F09">
      <w:pPr>
        <w:contextualSpacing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Gwarancja </w:t>
      </w:r>
      <w:r w:rsidRPr="00746A44">
        <w:rPr>
          <w:rFonts w:ascii="Book Antiqua" w:hAnsi="Book Antiqua"/>
          <w:sz w:val="22"/>
          <w:szCs w:val="22"/>
        </w:rPr>
        <w:t>jakości określona w niniejszej Karcie Gwarancyjnej została udzielona przez:  …………</w:t>
      </w:r>
      <w:r w:rsidRPr="00746A44">
        <w:rPr>
          <w:rFonts w:ascii="Book Antiqua" w:hAnsi="Book Antiqua"/>
          <w:i/>
          <w:iCs/>
          <w:sz w:val="22"/>
          <w:szCs w:val="22"/>
        </w:rPr>
        <w:t xml:space="preserve">(pełne dane rejestrowe Podwykonawcy ze wskazaniem osoby lub osób upoważnionych do składania oświadczeń)…….. </w:t>
      </w:r>
      <w:r w:rsidRPr="00746A44">
        <w:rPr>
          <w:rFonts w:ascii="Book Antiqua" w:hAnsi="Book Antiqua"/>
          <w:sz w:val="22"/>
          <w:szCs w:val="22"/>
        </w:rPr>
        <w:t xml:space="preserve"> zwanego dalej </w:t>
      </w:r>
      <w:r w:rsidRPr="00746A44">
        <w:rPr>
          <w:rFonts w:ascii="Book Antiqua" w:hAnsi="Book Antiqua"/>
          <w:b/>
          <w:sz w:val="22"/>
          <w:szCs w:val="22"/>
        </w:rPr>
        <w:t>Gwarantem</w:t>
      </w:r>
      <w:r w:rsidRPr="00746A44">
        <w:rPr>
          <w:rFonts w:ascii="Book Antiqua" w:hAnsi="Book Antiqua"/>
          <w:sz w:val="22"/>
          <w:szCs w:val="22"/>
        </w:rPr>
        <w:t xml:space="preserve"> dla </w:t>
      </w:r>
      <w:r w:rsidR="00746A44" w:rsidRPr="00746A44">
        <w:rPr>
          <w:rFonts w:ascii="Book Antiqua" w:hAnsi="Book Antiqua"/>
          <w:b/>
          <w:bCs/>
          <w:sz w:val="22"/>
          <w:szCs w:val="22"/>
        </w:rPr>
        <w:t>Uniwersytetu Morskiego w Gdyni, z siedzibą w Gdyni (81-225) przy ul. Morskiej 81-87, NIP: 586-001-28-73,</w:t>
      </w:r>
      <w:r w:rsidRPr="00746A44">
        <w:rPr>
          <w:rFonts w:ascii="Book Antiqua" w:hAnsi="Book Antiqua"/>
          <w:sz w:val="22"/>
          <w:szCs w:val="22"/>
        </w:rPr>
        <w:t xml:space="preserve">zwanego dalej </w:t>
      </w:r>
      <w:r w:rsidRPr="00746A44">
        <w:rPr>
          <w:rFonts w:ascii="Book Antiqua" w:hAnsi="Book Antiqua"/>
          <w:b/>
          <w:sz w:val="22"/>
          <w:szCs w:val="22"/>
        </w:rPr>
        <w:t>Zamawiającym.</w:t>
      </w:r>
    </w:p>
    <w:p w14:paraId="7D253E52" w14:textId="77777777" w:rsidR="00BF4A42" w:rsidRPr="00746A44" w:rsidRDefault="00506F09">
      <w:pPr>
        <w:contextualSpacing/>
        <w:jc w:val="center"/>
        <w:rPr>
          <w:rFonts w:ascii="Book Antiqua" w:hAnsi="Book Antiqua"/>
          <w:b/>
          <w:sz w:val="22"/>
          <w:szCs w:val="22"/>
        </w:rPr>
      </w:pPr>
      <w:r w:rsidRPr="00746A44">
        <w:rPr>
          <w:rFonts w:ascii="Book Antiqua" w:hAnsi="Book Antiqua"/>
          <w:b/>
          <w:sz w:val="22"/>
          <w:szCs w:val="22"/>
        </w:rPr>
        <w:t>§ 1</w:t>
      </w:r>
    </w:p>
    <w:p w14:paraId="18D4CA26" w14:textId="0377811B" w:rsidR="00BF4A42" w:rsidRPr="0010190C" w:rsidRDefault="00506F09">
      <w:pPr>
        <w:pStyle w:val="Akapitzlist"/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746A44">
        <w:rPr>
          <w:rFonts w:ascii="Book Antiqua" w:hAnsi="Book Antiqua"/>
          <w:sz w:val="22"/>
          <w:szCs w:val="22"/>
        </w:rPr>
        <w:t xml:space="preserve">Niniejsza gwarancja obejmuje całość przedmiotu zamówienia </w:t>
      </w:r>
      <w:r w:rsidRPr="00746A44">
        <w:rPr>
          <w:rFonts w:ascii="Book Antiqua" w:hAnsi="Book Antiqua"/>
          <w:b/>
          <w:bCs/>
          <w:i/>
          <w:iCs/>
          <w:sz w:val="22"/>
          <w:szCs w:val="22"/>
        </w:rPr>
        <w:t>„</w:t>
      </w:r>
      <w:r w:rsidR="00096A1D">
        <w:rPr>
          <w:rFonts w:ascii="Book Antiqua" w:hAnsi="Book Antiqua"/>
          <w:b/>
          <w:bCs/>
          <w:i/>
          <w:iCs/>
          <w:sz w:val="22"/>
          <w:szCs w:val="22"/>
        </w:rPr>
        <w:t xml:space="preserve">Wykonanie robót budowlanych oddymianie budynku Etap I </w:t>
      </w:r>
      <w:proofErr w:type="spellStart"/>
      <w:r w:rsidR="00096A1D">
        <w:rPr>
          <w:rFonts w:ascii="Book Antiqua" w:hAnsi="Book Antiqua"/>
          <w:b/>
          <w:bCs/>
          <w:i/>
          <w:iCs/>
          <w:sz w:val="22"/>
          <w:szCs w:val="22"/>
        </w:rPr>
        <w:t>i</w:t>
      </w:r>
      <w:proofErr w:type="spellEnd"/>
      <w:r w:rsidR="00096A1D">
        <w:rPr>
          <w:rFonts w:ascii="Book Antiqua" w:hAnsi="Book Antiqua"/>
          <w:b/>
          <w:bCs/>
          <w:i/>
          <w:iCs/>
          <w:sz w:val="22"/>
          <w:szCs w:val="22"/>
        </w:rPr>
        <w:t xml:space="preserve"> pomieszczenia łącznika – Etap II w budynku </w:t>
      </w:r>
      <w:proofErr w:type="spellStart"/>
      <w:r w:rsidR="00096A1D">
        <w:rPr>
          <w:rFonts w:ascii="Book Antiqua" w:hAnsi="Book Antiqua"/>
          <w:b/>
          <w:bCs/>
          <w:i/>
          <w:iCs/>
          <w:sz w:val="22"/>
          <w:szCs w:val="22"/>
        </w:rPr>
        <w:t>laboratoryjno</w:t>
      </w:r>
      <w:proofErr w:type="spellEnd"/>
      <w:r w:rsidR="00096A1D">
        <w:rPr>
          <w:rFonts w:ascii="Book Antiqua" w:hAnsi="Book Antiqua"/>
          <w:b/>
          <w:bCs/>
          <w:i/>
          <w:iCs/>
          <w:sz w:val="22"/>
          <w:szCs w:val="22"/>
        </w:rPr>
        <w:t xml:space="preserve"> – biurowo – warsztatowo – magazynowego przy ul. Roberta de </w:t>
      </w:r>
      <w:proofErr w:type="spellStart"/>
      <w:r w:rsidR="00096A1D">
        <w:rPr>
          <w:rFonts w:ascii="Book Antiqua" w:hAnsi="Book Antiqua"/>
          <w:b/>
          <w:bCs/>
          <w:i/>
          <w:iCs/>
          <w:sz w:val="22"/>
          <w:szCs w:val="22"/>
        </w:rPr>
        <w:t>Plelo</w:t>
      </w:r>
      <w:proofErr w:type="spellEnd"/>
      <w:r w:rsidR="00096A1D">
        <w:rPr>
          <w:rFonts w:ascii="Book Antiqua" w:hAnsi="Book Antiqua"/>
          <w:b/>
          <w:bCs/>
          <w:i/>
          <w:iCs/>
          <w:sz w:val="22"/>
          <w:szCs w:val="22"/>
        </w:rPr>
        <w:t xml:space="preserve"> w Gdańsku</w:t>
      </w:r>
      <w:r w:rsidRPr="0010190C">
        <w:rPr>
          <w:rFonts w:ascii="Book Antiqua" w:hAnsi="Book Antiqua"/>
          <w:b/>
          <w:bCs/>
          <w:i/>
          <w:iCs/>
          <w:sz w:val="22"/>
          <w:szCs w:val="22"/>
        </w:rPr>
        <w:t>”</w:t>
      </w:r>
      <w:r w:rsidRPr="0010190C">
        <w:rPr>
          <w:rFonts w:ascii="Book Antiqua" w:hAnsi="Book Antiqua"/>
          <w:sz w:val="22"/>
          <w:szCs w:val="22"/>
        </w:rPr>
        <w:t xml:space="preserve"> określonego w umowie o roboty budowlane z dnia ……………………. zawartej między Gwarantem i Zamawiającym – zwanej dalej </w:t>
      </w:r>
      <w:r w:rsidRPr="0010190C">
        <w:rPr>
          <w:rFonts w:ascii="Book Antiqua" w:hAnsi="Book Antiqua"/>
          <w:b/>
          <w:sz w:val="22"/>
          <w:szCs w:val="22"/>
        </w:rPr>
        <w:t>Umową</w:t>
      </w:r>
      <w:r w:rsidRPr="0010190C">
        <w:rPr>
          <w:rFonts w:ascii="Book Antiqua" w:hAnsi="Book Antiqua"/>
          <w:sz w:val="22"/>
          <w:szCs w:val="22"/>
        </w:rPr>
        <w:t xml:space="preserve"> oraz w innych dokumentach będących integralną częścią umowy. </w:t>
      </w:r>
    </w:p>
    <w:p w14:paraId="365BDF1C" w14:textId="77777777" w:rsidR="00BF4A42" w:rsidRPr="0010190C" w:rsidRDefault="00506F09">
      <w:pPr>
        <w:pStyle w:val="Akapitzlist"/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Gwarant odpowiada wobec Zamawiającego na podstawie udzielonej gwarancji jakości za cały przedmiot Umowy, w tym także za części realizowane przez podwykonawców. Gwarant jest odpowiedzialny wobec Zamawiającego za realizację wszystkich zobowiązań, o których mowa w Umowie. </w:t>
      </w:r>
    </w:p>
    <w:p w14:paraId="7D8AFDB3" w14:textId="77777777" w:rsidR="00BF4A42" w:rsidRPr="0010190C" w:rsidRDefault="00506F09">
      <w:pPr>
        <w:pStyle w:val="Akapitzlist"/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Gwarant udziela gwarancji jakości jeżeli wada zostanie stwierdzona przed upływem ………………………… </w:t>
      </w:r>
      <w:r w:rsidRPr="0010190C">
        <w:rPr>
          <w:rFonts w:ascii="Book Antiqua" w:hAnsi="Book Antiqua"/>
          <w:i/>
          <w:sz w:val="22"/>
          <w:szCs w:val="22"/>
        </w:rPr>
        <w:t>(Wpis w zależności od treści oferty Wykonawcy)………</w:t>
      </w:r>
      <w:r w:rsidRPr="0010190C">
        <w:rPr>
          <w:rFonts w:ascii="Book Antiqua" w:hAnsi="Book Antiqua"/>
          <w:sz w:val="22"/>
          <w:szCs w:val="22"/>
        </w:rPr>
        <w:t xml:space="preserve"> licząc od dnia podpisania Protokołu Odbioru Końcowego. </w:t>
      </w:r>
    </w:p>
    <w:p w14:paraId="5833B5A3" w14:textId="77777777" w:rsidR="00BF4A42" w:rsidRPr="0010190C" w:rsidRDefault="00506F09">
      <w:pPr>
        <w:pStyle w:val="Akapitzlist"/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>Ilekroć w niniejszej Karcie Gwarancyjnej jest mowa o wadzie, należy przez to rozumieć wadę fizyczną, o której mowa w art. 556</w:t>
      </w:r>
      <w:r w:rsidRPr="0010190C">
        <w:rPr>
          <w:rFonts w:ascii="Book Antiqua" w:hAnsi="Book Antiqua"/>
          <w:sz w:val="22"/>
          <w:szCs w:val="22"/>
          <w:vertAlign w:val="superscript"/>
        </w:rPr>
        <w:t>1</w:t>
      </w:r>
      <w:r w:rsidRPr="0010190C">
        <w:rPr>
          <w:rFonts w:ascii="Book Antiqua" w:hAnsi="Book Antiqua"/>
          <w:sz w:val="22"/>
          <w:szCs w:val="22"/>
        </w:rPr>
        <w:t xml:space="preserve"> k.c., dotyczącą Robót lub Inwestycji określonych w Umowie.</w:t>
      </w:r>
    </w:p>
    <w:p w14:paraId="52CC008F" w14:textId="77777777" w:rsidR="00BF4A42" w:rsidRPr="0010190C" w:rsidRDefault="00506F09">
      <w:pPr>
        <w:pStyle w:val="Akapitzlist"/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>Uprawnienia Zamawiającego opisane w Karcie Gwarancyjnej nie uchybiają uprawnieniom Zamawiającego opisanym w Umowie. W przypadku sprzeczności tych uprawnień decydują uprawnienia opisane w Umowie. W przypadku zbiegu uprawnień wybór uprawnienia należy do Zamawiającego.</w:t>
      </w:r>
    </w:p>
    <w:p w14:paraId="773E5FB0" w14:textId="77777777" w:rsidR="00BF4A42" w:rsidRPr="0010190C" w:rsidRDefault="00506F09">
      <w:pPr>
        <w:contextualSpacing/>
        <w:jc w:val="center"/>
        <w:rPr>
          <w:rFonts w:ascii="Book Antiqua" w:hAnsi="Book Antiqua"/>
          <w:b/>
          <w:sz w:val="22"/>
          <w:szCs w:val="22"/>
        </w:rPr>
      </w:pPr>
      <w:r w:rsidRPr="0010190C">
        <w:rPr>
          <w:rFonts w:ascii="Book Antiqua" w:hAnsi="Book Antiqua"/>
          <w:b/>
          <w:sz w:val="22"/>
          <w:szCs w:val="22"/>
        </w:rPr>
        <w:t>§ 2</w:t>
      </w:r>
    </w:p>
    <w:p w14:paraId="2EE9D8CD" w14:textId="77777777" w:rsidR="00BF4A42" w:rsidRPr="0010190C" w:rsidRDefault="00506F09">
      <w:pPr>
        <w:pStyle w:val="Akapitzlist"/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W przypadku wystąpienia jakiejkolwiek wady Zamawiający jest uprawniony do: </w:t>
      </w:r>
    </w:p>
    <w:p w14:paraId="5C2EFFAC" w14:textId="77777777" w:rsidR="00BF4A42" w:rsidRPr="0010190C" w:rsidRDefault="00506F09">
      <w:pPr>
        <w:pStyle w:val="Akapitzlist"/>
        <w:numPr>
          <w:ilvl w:val="1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żądania usunięcia wady, a w przypadku, gdy dana rzecz była już dwukrotnie naprawiana do żądania wymiany tej rzeczy na nową, wolną od wad; </w:t>
      </w:r>
    </w:p>
    <w:p w14:paraId="1213431A" w14:textId="77777777" w:rsidR="00BF4A42" w:rsidRPr="0010190C" w:rsidRDefault="00506F09">
      <w:pPr>
        <w:pStyle w:val="Akapitzlist"/>
        <w:numPr>
          <w:ilvl w:val="1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wskazania trybu usunięcia wady/wymiany rzeczy na wolną od wad; </w:t>
      </w:r>
    </w:p>
    <w:p w14:paraId="0801F937" w14:textId="77777777" w:rsidR="00BF4A42" w:rsidRPr="0010190C" w:rsidRDefault="00506F09">
      <w:pPr>
        <w:pStyle w:val="Akapitzlist"/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W przypadku wystąpienia jakiejkolwiek wady Gwarant jest zobowiązany do: </w:t>
      </w:r>
    </w:p>
    <w:p w14:paraId="4EC2725F" w14:textId="77777777" w:rsidR="00BF4A42" w:rsidRPr="0010190C" w:rsidRDefault="00506F09">
      <w:pPr>
        <w:pStyle w:val="Akapitzlist"/>
        <w:numPr>
          <w:ilvl w:val="0"/>
          <w:numId w:val="4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terminowego spełnienia żądania Zamawiającego dotyczącego usunięcia wady, przy czym usuniecie wady może nastąpić również poprzez wymianę rzeczy wchodzącej w zakres przedmiotu Umowy na wolną od wad; </w:t>
      </w:r>
    </w:p>
    <w:p w14:paraId="14AA739E" w14:textId="18763C5A" w:rsidR="00096A1D" w:rsidRDefault="00506F09">
      <w:pPr>
        <w:pStyle w:val="Akapitzlist"/>
        <w:numPr>
          <w:ilvl w:val="0"/>
          <w:numId w:val="4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terminowego spełnienia </w:t>
      </w:r>
      <w:r w:rsidR="00C33E12" w:rsidRPr="0010190C">
        <w:rPr>
          <w:rFonts w:ascii="Book Antiqua" w:hAnsi="Book Antiqua"/>
          <w:sz w:val="22"/>
          <w:szCs w:val="22"/>
        </w:rPr>
        <w:t xml:space="preserve">żądania </w:t>
      </w:r>
      <w:r w:rsidRPr="0010190C">
        <w:rPr>
          <w:rFonts w:ascii="Book Antiqua" w:hAnsi="Book Antiqua"/>
          <w:sz w:val="22"/>
          <w:szCs w:val="22"/>
        </w:rPr>
        <w:t xml:space="preserve">Zamawiającego dotyczącego wymiany rzeczy na wolną od wad; </w:t>
      </w:r>
    </w:p>
    <w:p w14:paraId="0AF5FCB3" w14:textId="77777777" w:rsidR="00BF4A42" w:rsidRPr="00096A1D" w:rsidRDefault="00BF4A42" w:rsidP="00096A1D"/>
    <w:p w14:paraId="6A22245A" w14:textId="77777777" w:rsidR="00BF4A42" w:rsidRPr="0010190C" w:rsidRDefault="00506F09">
      <w:pPr>
        <w:pStyle w:val="Akapitzlist"/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lastRenderedPageBreak/>
        <w:t xml:space="preserve">Ilekroć w dalszych postanowieniach jest mowa o „usunięciu wady” należy przez to rozumieć również wymianę rzeczy na wolną od wad. </w:t>
      </w:r>
    </w:p>
    <w:p w14:paraId="3AD97420" w14:textId="77777777" w:rsidR="00BF4A42" w:rsidRPr="0010190C" w:rsidRDefault="00506F09">
      <w:pPr>
        <w:contextualSpacing/>
        <w:jc w:val="center"/>
        <w:rPr>
          <w:rFonts w:ascii="Book Antiqua" w:hAnsi="Book Antiqua"/>
          <w:b/>
          <w:sz w:val="22"/>
          <w:szCs w:val="22"/>
        </w:rPr>
      </w:pPr>
      <w:r w:rsidRPr="0010190C">
        <w:rPr>
          <w:rFonts w:ascii="Book Antiqua" w:hAnsi="Book Antiqua"/>
          <w:b/>
          <w:sz w:val="22"/>
          <w:szCs w:val="22"/>
        </w:rPr>
        <w:t>§ 3</w:t>
      </w:r>
    </w:p>
    <w:p w14:paraId="4348CAE3" w14:textId="77777777" w:rsidR="00BF4A42" w:rsidRPr="0010190C" w:rsidRDefault="00506F09">
      <w:pPr>
        <w:pStyle w:val="Akapitzlist"/>
        <w:numPr>
          <w:ilvl w:val="0"/>
          <w:numId w:val="5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>Komisyjne przeglądy gwarancyjne odbywać się będą co sześć miesięcy, licząc od miesiąca obowiązywania niniejszej gwarancji</w:t>
      </w:r>
      <w:r w:rsidRPr="0010190C">
        <w:rPr>
          <w:rFonts w:eastAsia="Verdana" w:cs="Verdana"/>
        </w:rPr>
        <w:t xml:space="preserve"> </w:t>
      </w:r>
      <w:r w:rsidRPr="0010190C">
        <w:rPr>
          <w:rFonts w:ascii="Book Antiqua" w:hAnsi="Book Antiqua"/>
          <w:sz w:val="22"/>
          <w:szCs w:val="22"/>
        </w:rPr>
        <w:t xml:space="preserve">i zawsze, kiedy Zamawiający uzna to za uzasadnione w okresie obowiązywania gwarancji. </w:t>
      </w:r>
    </w:p>
    <w:p w14:paraId="5A9C4972" w14:textId="77777777" w:rsidR="00BF4A42" w:rsidRPr="0010190C" w:rsidRDefault="00506F09">
      <w:pPr>
        <w:pStyle w:val="Akapitzlist"/>
        <w:numPr>
          <w:ilvl w:val="0"/>
          <w:numId w:val="5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Datę, godzinę i miejsce dokonania przeglądu gwarancyjnego wyznacza Zamawiający, zawiadamiając o nim Gwaranta na piśmie z co najmniej 14 dniowym wyprzedzeniem. </w:t>
      </w:r>
    </w:p>
    <w:p w14:paraId="38BA723B" w14:textId="1B167771" w:rsidR="00BF4A42" w:rsidRPr="0010190C" w:rsidRDefault="00506F09">
      <w:pPr>
        <w:pStyle w:val="Akapitzlist"/>
        <w:numPr>
          <w:ilvl w:val="0"/>
          <w:numId w:val="5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W skład komisji przeglądowej będzie wchodziła co najmniej jedna osoba wyznaczona przez Zamawiającego oraz co najmniej jedna osoba wyznaczona przez Gwaranta. </w:t>
      </w:r>
    </w:p>
    <w:p w14:paraId="63BD16C6" w14:textId="77777777" w:rsidR="00BF4A42" w:rsidRPr="0010190C" w:rsidRDefault="00506F09">
      <w:pPr>
        <w:pStyle w:val="Akapitzlist"/>
        <w:numPr>
          <w:ilvl w:val="0"/>
          <w:numId w:val="5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Jeżeli Gwarant został prawidłowo zawiadomiony o terminie i miejscu dokonania przeglądu gwarancyjnego, niestawienie się jego przedstawicieli nie będzie wywoływało żadnych ujemnych skutków dla ważności i skuteczności ustaleń dokonanych przez komisję przeglądową. </w:t>
      </w:r>
    </w:p>
    <w:p w14:paraId="681FA5DC" w14:textId="77777777" w:rsidR="00BF4A42" w:rsidRPr="0010190C" w:rsidRDefault="00506F09">
      <w:pPr>
        <w:pStyle w:val="Akapitzlist"/>
        <w:numPr>
          <w:ilvl w:val="0"/>
          <w:numId w:val="5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Z każdego przeglądu gwarancyjnego sporządza się szczegółowy Protokół Przeglądu Gwarancyjnego, w co najmniej dwóch egzemplarzach, po jednym dla Zamawiającego i dla Gwaranta. W przypadku nieobecności przedstawicieli Gwaranta, Zamawiający niezwłocznie przesyła Gwarantowi jeden egzemplarz Protokołu Przeglądu. </w:t>
      </w:r>
    </w:p>
    <w:p w14:paraId="212AD366" w14:textId="77777777" w:rsidR="00BF4A42" w:rsidRPr="0010190C" w:rsidRDefault="00506F09">
      <w:pPr>
        <w:ind w:left="360"/>
        <w:jc w:val="center"/>
        <w:rPr>
          <w:rFonts w:ascii="Book Antiqua" w:hAnsi="Book Antiqua"/>
          <w:b/>
          <w:sz w:val="22"/>
          <w:szCs w:val="22"/>
        </w:rPr>
      </w:pPr>
      <w:r w:rsidRPr="0010190C">
        <w:rPr>
          <w:rFonts w:ascii="Book Antiqua" w:hAnsi="Book Antiqua"/>
          <w:b/>
          <w:sz w:val="22"/>
          <w:szCs w:val="22"/>
        </w:rPr>
        <w:t>§ 4</w:t>
      </w:r>
    </w:p>
    <w:p w14:paraId="02FCA7CE" w14:textId="77777777" w:rsidR="00BF4A42" w:rsidRPr="0010190C" w:rsidRDefault="00506F09">
      <w:pPr>
        <w:pStyle w:val="Akapitzlist"/>
        <w:numPr>
          <w:ilvl w:val="0"/>
          <w:numId w:val="6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W przypadku ujawnienia wady w czasie innym niż podczas przeglądu gwarancyjnego, Zamawiający niezwłocznie, lecz nie później niż w ciągu 14 dni od ujawnienia wady, zawiadomi na piśmie o niej Gwaranta, równocześnie wzywając go do usunięcia ujawnionej wady. </w:t>
      </w:r>
    </w:p>
    <w:p w14:paraId="31BE42B5" w14:textId="77777777" w:rsidR="00BF4A42" w:rsidRPr="0010190C" w:rsidRDefault="00506F09">
      <w:pPr>
        <w:pStyle w:val="Akapitzlist"/>
        <w:numPr>
          <w:ilvl w:val="0"/>
          <w:numId w:val="6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>Gwarant obowiązany jest przystąpić do usuwania ujawnionej wady w ciągu 3 dni od daty otrzymania wezwania lub daty sporządzenia Protokołu Przeglądu Gwarancyjnego. Termin usuwania wad nie może być dłuższy niż 21 dni od daty przystąpienia do usuwania awarii (</w:t>
      </w:r>
      <w:r w:rsidRPr="0010190C">
        <w:rPr>
          <w:rFonts w:ascii="Book Antiqua" w:hAnsi="Book Antiqua"/>
          <w:b/>
          <w:sz w:val="22"/>
          <w:szCs w:val="22"/>
        </w:rPr>
        <w:t>tryb zwykły</w:t>
      </w:r>
      <w:r w:rsidRPr="0010190C">
        <w:rPr>
          <w:rFonts w:ascii="Book Antiqua" w:hAnsi="Book Antiqua"/>
          <w:sz w:val="22"/>
          <w:szCs w:val="22"/>
        </w:rPr>
        <w:t xml:space="preserve">), chyba że strony ustalą inaczej w szczególności w przypadku, gdy ze względu na technologię naprawy nie będzie obiektywnej możliwości zachowania terminu 21 dni. </w:t>
      </w:r>
    </w:p>
    <w:p w14:paraId="6B11EE6C" w14:textId="77777777" w:rsidR="00BF4A42" w:rsidRPr="0010190C" w:rsidRDefault="00506F09">
      <w:pPr>
        <w:pStyle w:val="Akapitzlist"/>
        <w:numPr>
          <w:ilvl w:val="0"/>
          <w:numId w:val="6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Usunięcie wad uważa się za skuteczne z chwilą podpisania przez obie strony Protokołu odbioru prac z usuwania wad. </w:t>
      </w:r>
    </w:p>
    <w:p w14:paraId="29F49FD2" w14:textId="77777777" w:rsidR="00BF4A42" w:rsidRPr="0010190C" w:rsidRDefault="00506F09">
      <w:pPr>
        <w:pStyle w:val="Akapitzlist"/>
        <w:numPr>
          <w:ilvl w:val="0"/>
          <w:numId w:val="6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>W przypadku, kiedy ujawniona wada ogranicza lub uniemożliwia działanie części lub całości Inwestycji, a także gdy ujawniona wada może skutkować zagrożeniem dla życia lub zdrowia ludzi, zanieczyszczeniem środowiska, wystąpieniem niepowetowanej szkody dla Zamawiającego lub osób trzecich, jak również w innych przypadkach nie cierpiących zwłoki awaria zostanie usunięta przez Gwaranta w ciągu 72 godzin. Gwarant zostanie powiadomiony o takiej awarii w ciągu 24 godzin od jej wystąpienia (</w:t>
      </w:r>
      <w:r w:rsidRPr="0010190C">
        <w:rPr>
          <w:rFonts w:ascii="Book Antiqua" w:hAnsi="Book Antiqua"/>
          <w:b/>
          <w:sz w:val="22"/>
          <w:szCs w:val="22"/>
        </w:rPr>
        <w:t>tryb awaryjny</w:t>
      </w:r>
      <w:r w:rsidRPr="0010190C">
        <w:rPr>
          <w:rFonts w:ascii="Book Antiqua" w:hAnsi="Book Antiqua"/>
          <w:sz w:val="22"/>
          <w:szCs w:val="22"/>
        </w:rPr>
        <w:t xml:space="preserve">). </w:t>
      </w:r>
    </w:p>
    <w:p w14:paraId="28A3F50F" w14:textId="77777777" w:rsidR="00BF4A42" w:rsidRPr="0010190C" w:rsidRDefault="00506F09">
      <w:pPr>
        <w:pStyle w:val="Akapitzlist"/>
        <w:numPr>
          <w:ilvl w:val="0"/>
          <w:numId w:val="6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Wada powinna być usunięta przez Gwaranta w miejscu, w którym rzecz (urządzenie)  znajduje się w chwili ujawnienia wady. W przypadku gdy, wada nie może być usunięta w miejscu, w którym rzecz (urządzenie) znajduje się, Gwarant jest zobowiązany odebrać na swój koszt i ryzyko rzecz (urządzenie) z miejsca, w którym rzecz znajduje się (jest zamontowana), a następnie, po usunięciu wady lub dokonaniu wymiany rzeczy (urządzenia) na nową/e, Gwarant zobowiązany jest dostarczyć i zamontować rzecz (urządzenie) na koszt i ryzyko Gwaranta. </w:t>
      </w:r>
    </w:p>
    <w:p w14:paraId="34FD1C03" w14:textId="77777777" w:rsidR="00BF4A42" w:rsidRPr="0010190C" w:rsidRDefault="00506F09">
      <w:pPr>
        <w:pStyle w:val="Akapitzlist"/>
        <w:numPr>
          <w:ilvl w:val="0"/>
          <w:numId w:val="6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Strony mogą ustanowić osobne porozumienie o usuwaniu wad w trybie awaryjnym przez podmiot trzeci na koszt Gwaranta. </w:t>
      </w:r>
    </w:p>
    <w:p w14:paraId="6D287794" w14:textId="77777777" w:rsidR="00BF4A42" w:rsidRPr="0010190C" w:rsidRDefault="00506F09">
      <w:pPr>
        <w:jc w:val="center"/>
        <w:rPr>
          <w:rFonts w:ascii="Book Antiqua" w:hAnsi="Book Antiqua"/>
          <w:b/>
          <w:sz w:val="22"/>
          <w:szCs w:val="22"/>
        </w:rPr>
      </w:pPr>
      <w:r w:rsidRPr="0010190C">
        <w:rPr>
          <w:rFonts w:ascii="Book Antiqua" w:hAnsi="Book Antiqua"/>
          <w:b/>
          <w:sz w:val="22"/>
          <w:szCs w:val="22"/>
        </w:rPr>
        <w:t>§ 5</w:t>
      </w:r>
    </w:p>
    <w:p w14:paraId="44805676" w14:textId="77777777" w:rsidR="00BF4A42" w:rsidRPr="0010190C" w:rsidRDefault="00506F09">
      <w:pPr>
        <w:pStyle w:val="Akapitzlist"/>
        <w:numPr>
          <w:ilvl w:val="0"/>
          <w:numId w:val="7"/>
        </w:numPr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>Gwarancja nie obejmuje wad spowodowanych na skutek okoliczności niezależnych od Gwaranta:</w:t>
      </w:r>
    </w:p>
    <w:p w14:paraId="0A81C3B6" w14:textId="77777777" w:rsidR="00BF4A42" w:rsidRPr="0010190C" w:rsidRDefault="00506F09">
      <w:pPr>
        <w:pStyle w:val="Akapitzlist"/>
        <w:numPr>
          <w:ilvl w:val="0"/>
          <w:numId w:val="9"/>
        </w:numPr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>działaniem siły wyższej,</w:t>
      </w:r>
    </w:p>
    <w:p w14:paraId="2F3DE49A" w14:textId="77777777" w:rsidR="00BF4A42" w:rsidRPr="0010190C" w:rsidRDefault="00506F09">
      <w:pPr>
        <w:pStyle w:val="Akapitzlist"/>
        <w:numPr>
          <w:ilvl w:val="0"/>
          <w:numId w:val="9"/>
        </w:numPr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lastRenderedPageBreak/>
        <w:t>użytkowaniem lub eksploatacją sprzeczną z doręczoną Zamawiającemu instrukcją obsługi,</w:t>
      </w:r>
    </w:p>
    <w:p w14:paraId="7477A65C" w14:textId="77777777" w:rsidR="00BF4A42" w:rsidRPr="0010190C" w:rsidRDefault="00506F09">
      <w:pPr>
        <w:pStyle w:val="Akapitzlist"/>
        <w:numPr>
          <w:ilvl w:val="0"/>
          <w:numId w:val="9"/>
        </w:numPr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>uszkodzeniami mechanicznymi.</w:t>
      </w:r>
    </w:p>
    <w:p w14:paraId="2D35FD07" w14:textId="77777777" w:rsidR="00BF4A42" w:rsidRPr="0010190C" w:rsidRDefault="00506F09">
      <w:pPr>
        <w:pStyle w:val="Akapitzlist"/>
        <w:numPr>
          <w:ilvl w:val="0"/>
          <w:numId w:val="7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>Ciężar dowodu na wyłączenie uprawnień gwarancyjnych obciąża Gwaranta.</w:t>
      </w:r>
    </w:p>
    <w:p w14:paraId="0B38B4B6" w14:textId="77777777" w:rsidR="00BF4A42" w:rsidRPr="0010190C" w:rsidRDefault="00506F09">
      <w:pPr>
        <w:jc w:val="center"/>
        <w:rPr>
          <w:rFonts w:ascii="Book Antiqua" w:hAnsi="Book Antiqua"/>
          <w:b/>
          <w:sz w:val="22"/>
          <w:szCs w:val="22"/>
        </w:rPr>
      </w:pPr>
      <w:r w:rsidRPr="0010190C">
        <w:rPr>
          <w:rFonts w:ascii="Book Antiqua" w:hAnsi="Book Antiqua"/>
          <w:b/>
          <w:sz w:val="22"/>
          <w:szCs w:val="22"/>
        </w:rPr>
        <w:t>§ 6</w:t>
      </w:r>
    </w:p>
    <w:p w14:paraId="19796251" w14:textId="77777777" w:rsidR="00BF4A42" w:rsidRPr="0010190C" w:rsidRDefault="00506F09">
      <w:pPr>
        <w:pStyle w:val="Akapitzlist"/>
        <w:numPr>
          <w:ilvl w:val="0"/>
          <w:numId w:val="10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>Niezależnie od udzielonej gwarancji, Gwarant niniejszym upoważnia Zamawiającego do wykonywania uprawnień z gwarancji przysługujących Gwarantowi wobec podmiotów, wobec których Gwarantowi przysługują takie uprawnienia, tj. w szczególności wobec producentów urządzeń, podwykonawców.</w:t>
      </w:r>
    </w:p>
    <w:p w14:paraId="60BD79BE" w14:textId="77777777" w:rsidR="00BF4A42" w:rsidRPr="0010190C" w:rsidRDefault="00506F09">
      <w:pPr>
        <w:pStyle w:val="Akapitzlist"/>
        <w:numPr>
          <w:ilvl w:val="0"/>
          <w:numId w:val="10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>Gwarant nie może wyłączyć swojej odpowiedzialności z tytułu gwarancji jakości powołując się na powyższe upoważnienie Zamawiającego. Skorzystanie przez Zamawiającego z uprawnień gwarancyjnych przysługujących Gwarantowi jest uprawnieniem a nie obowiązkiem Zamawiającego.</w:t>
      </w:r>
    </w:p>
    <w:p w14:paraId="5FF45054" w14:textId="77777777" w:rsidR="00BF4A42" w:rsidRPr="0010190C" w:rsidRDefault="00506F09">
      <w:pPr>
        <w:jc w:val="center"/>
        <w:rPr>
          <w:rFonts w:ascii="Book Antiqua" w:hAnsi="Book Antiqua"/>
          <w:b/>
          <w:sz w:val="22"/>
          <w:szCs w:val="22"/>
        </w:rPr>
      </w:pPr>
      <w:r w:rsidRPr="0010190C">
        <w:rPr>
          <w:rFonts w:ascii="Book Antiqua" w:hAnsi="Book Antiqua"/>
          <w:b/>
          <w:sz w:val="22"/>
          <w:szCs w:val="22"/>
        </w:rPr>
        <w:t>§ 7</w:t>
      </w:r>
    </w:p>
    <w:p w14:paraId="3ABA8C58" w14:textId="72ACE752" w:rsidR="00BF4A42" w:rsidRPr="0010190C" w:rsidRDefault="00506F09">
      <w:pPr>
        <w:pStyle w:val="Akapitzlist"/>
        <w:numPr>
          <w:ilvl w:val="0"/>
          <w:numId w:val="11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>Gwarant wskazuje następujące dane teleadresowe (w tym adres email i numer telefonu) do realizacji uprawnień gwarancyjnych przez</w:t>
      </w:r>
      <w:r w:rsidR="00C33E12" w:rsidRPr="0010190C">
        <w:rPr>
          <w:rFonts w:ascii="Book Antiqua" w:hAnsi="Book Antiqua"/>
          <w:sz w:val="22"/>
          <w:szCs w:val="22"/>
        </w:rPr>
        <w:t xml:space="preserve"> </w:t>
      </w:r>
      <w:r w:rsidRPr="0010190C">
        <w:rPr>
          <w:rFonts w:ascii="Book Antiqua" w:hAnsi="Book Antiqua"/>
          <w:sz w:val="22"/>
          <w:szCs w:val="22"/>
        </w:rPr>
        <w:t>Zamawiającego: …………………….</w:t>
      </w:r>
    </w:p>
    <w:p w14:paraId="21A6E00A" w14:textId="77777777" w:rsidR="00BF4A42" w:rsidRPr="0010190C" w:rsidRDefault="00506F09">
      <w:pPr>
        <w:pStyle w:val="Akapitzlist"/>
        <w:numPr>
          <w:ilvl w:val="0"/>
          <w:numId w:val="11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>Zamawiający wskazuje następujące dane teleadresowe (w tym adres email i numer telefonu) do kontaktów z Gwarantem: …………………….</w:t>
      </w:r>
    </w:p>
    <w:p w14:paraId="19EDB1D5" w14:textId="77777777" w:rsidR="00BF4A42" w:rsidRPr="0010190C" w:rsidRDefault="00506F09">
      <w:pPr>
        <w:pStyle w:val="Akapitzlist"/>
        <w:numPr>
          <w:ilvl w:val="0"/>
          <w:numId w:val="11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>O zmianach w danych teleadresowych Strony obowiązane są informować się niezwłocznie, nie później niż 3 dni od chwili zaistnienia zmian, pod rygorem uznania wysłania korespondencji pod ostatnio znany adres za skutecznie doręczony.</w:t>
      </w:r>
    </w:p>
    <w:p w14:paraId="4ECBF5D2" w14:textId="77777777" w:rsidR="00BF4A42" w:rsidRPr="0010190C" w:rsidRDefault="00506F09">
      <w:pPr>
        <w:ind w:left="360"/>
        <w:jc w:val="center"/>
        <w:rPr>
          <w:rFonts w:ascii="Book Antiqua" w:hAnsi="Book Antiqua"/>
          <w:b/>
          <w:sz w:val="22"/>
          <w:szCs w:val="22"/>
        </w:rPr>
      </w:pPr>
      <w:r w:rsidRPr="0010190C">
        <w:rPr>
          <w:rFonts w:ascii="Book Antiqua" w:hAnsi="Book Antiqua"/>
          <w:b/>
          <w:sz w:val="22"/>
          <w:szCs w:val="22"/>
        </w:rPr>
        <w:t>§ 8</w:t>
      </w:r>
    </w:p>
    <w:p w14:paraId="01A25109" w14:textId="77777777" w:rsidR="00BF4A42" w:rsidRPr="0010190C" w:rsidRDefault="00506F09">
      <w:pPr>
        <w:pStyle w:val="Akapitzlist"/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W sprawach nieuregulowanych zastosowanie mają odpowiednie przepisy prawa polskiego, w szczególności Kodeksu cywilnego oraz ustawy Prawo zamówień publicznych. </w:t>
      </w:r>
    </w:p>
    <w:p w14:paraId="4B0B6E48" w14:textId="77777777" w:rsidR="00BF4A42" w:rsidRPr="0010190C" w:rsidRDefault="00506F09">
      <w:pPr>
        <w:pStyle w:val="Akapitzlist"/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Wszelkie zmiany niniejszej Karty Gwarancyjnej wymagają formy pisemnej pod rygorem nieważności oraz uprzedniej zgody Zamawiającego wyrażonej na piśmie pod rygorem nieważności. </w:t>
      </w:r>
    </w:p>
    <w:p w14:paraId="109299DA" w14:textId="77777777" w:rsidR="00BF4A42" w:rsidRPr="0010190C" w:rsidRDefault="00506F09">
      <w:pPr>
        <w:pStyle w:val="Akapitzlist"/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Gwarant jest obowiązany w terminie 7 dni od daty złożenia wniosku o upadłość lub likwidację powiadomić na piśmie o tym fakcie Zamawiającego. </w:t>
      </w:r>
    </w:p>
    <w:p w14:paraId="6324E908" w14:textId="77777777" w:rsidR="00BF4A42" w:rsidRPr="0010190C" w:rsidRDefault="00506F09">
      <w:pPr>
        <w:pStyle w:val="Akapitzlist"/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 xml:space="preserve">Niniejszą Kartę Gwarancyjną sporządzono w dwóch egzemplarzach na prawach oryginału, po jednym dla Zamawiającego i dla Gwaranta. </w:t>
      </w:r>
    </w:p>
    <w:p w14:paraId="1A0CB186" w14:textId="77777777" w:rsidR="00BF4A42" w:rsidRPr="0010190C" w:rsidRDefault="00BF4A42">
      <w:pPr>
        <w:contextualSpacing/>
        <w:jc w:val="both"/>
        <w:rPr>
          <w:rFonts w:ascii="Book Antiqua" w:hAnsi="Book Antiqua"/>
          <w:sz w:val="22"/>
          <w:szCs w:val="22"/>
        </w:rPr>
      </w:pPr>
    </w:p>
    <w:p w14:paraId="74031E72" w14:textId="77777777" w:rsidR="00BF4A42" w:rsidRPr="0010190C" w:rsidRDefault="00506F09">
      <w:pPr>
        <w:ind w:left="4536"/>
        <w:contextualSpacing/>
        <w:jc w:val="center"/>
        <w:rPr>
          <w:rFonts w:ascii="Book Antiqua" w:hAnsi="Book Antiqua"/>
          <w:sz w:val="22"/>
          <w:szCs w:val="22"/>
        </w:rPr>
      </w:pPr>
      <w:r w:rsidRPr="0010190C">
        <w:rPr>
          <w:rFonts w:ascii="Book Antiqua" w:hAnsi="Book Antiqua"/>
          <w:sz w:val="22"/>
          <w:szCs w:val="22"/>
        </w:rPr>
        <w:t>.........................................................</w:t>
      </w:r>
    </w:p>
    <w:p w14:paraId="36B3E12B" w14:textId="257BC683" w:rsidR="00096A1D" w:rsidRDefault="00506F09">
      <w:pPr>
        <w:ind w:left="4536"/>
        <w:contextualSpacing/>
        <w:jc w:val="center"/>
        <w:rPr>
          <w:rFonts w:ascii="Book Antiqua" w:hAnsi="Book Antiqua"/>
          <w:i/>
          <w:iCs/>
          <w:sz w:val="22"/>
          <w:szCs w:val="22"/>
        </w:rPr>
      </w:pPr>
      <w:r w:rsidRPr="0010190C">
        <w:rPr>
          <w:rFonts w:ascii="Book Antiqua" w:hAnsi="Book Antiqua"/>
          <w:i/>
          <w:iCs/>
          <w:sz w:val="22"/>
          <w:szCs w:val="22"/>
        </w:rPr>
        <w:t>(podpisy osób uprawnionych do reprezentacji Gwarant</w:t>
      </w:r>
      <w:r>
        <w:rPr>
          <w:rFonts w:ascii="Book Antiqua" w:hAnsi="Book Antiqua"/>
          <w:i/>
          <w:iCs/>
          <w:sz w:val="22"/>
          <w:szCs w:val="22"/>
        </w:rPr>
        <w:t>a)</w:t>
      </w:r>
    </w:p>
    <w:p w14:paraId="18BE6197" w14:textId="77777777" w:rsidR="00096A1D" w:rsidRPr="00096A1D" w:rsidRDefault="00096A1D" w:rsidP="00096A1D">
      <w:pPr>
        <w:rPr>
          <w:rFonts w:ascii="Book Antiqua" w:hAnsi="Book Antiqua"/>
          <w:sz w:val="22"/>
          <w:szCs w:val="22"/>
        </w:rPr>
      </w:pPr>
    </w:p>
    <w:p w14:paraId="13A00BF6" w14:textId="77777777" w:rsidR="00096A1D" w:rsidRPr="00096A1D" w:rsidRDefault="00096A1D" w:rsidP="00096A1D">
      <w:pPr>
        <w:rPr>
          <w:rFonts w:ascii="Book Antiqua" w:hAnsi="Book Antiqua"/>
          <w:sz w:val="22"/>
          <w:szCs w:val="22"/>
        </w:rPr>
      </w:pPr>
    </w:p>
    <w:p w14:paraId="1FF6C4E1" w14:textId="77777777" w:rsidR="00096A1D" w:rsidRPr="00096A1D" w:rsidRDefault="00096A1D" w:rsidP="00096A1D">
      <w:pPr>
        <w:rPr>
          <w:rFonts w:ascii="Book Antiqua" w:hAnsi="Book Antiqua"/>
          <w:sz w:val="22"/>
          <w:szCs w:val="22"/>
        </w:rPr>
      </w:pPr>
    </w:p>
    <w:p w14:paraId="672D1A44" w14:textId="77777777" w:rsidR="00096A1D" w:rsidRPr="00096A1D" w:rsidRDefault="00096A1D" w:rsidP="00096A1D">
      <w:pPr>
        <w:rPr>
          <w:rFonts w:ascii="Book Antiqua" w:hAnsi="Book Antiqua"/>
          <w:sz w:val="22"/>
          <w:szCs w:val="22"/>
        </w:rPr>
      </w:pPr>
    </w:p>
    <w:p w14:paraId="187B5294" w14:textId="0452E699" w:rsidR="00096A1D" w:rsidRDefault="00096A1D" w:rsidP="00096A1D">
      <w:pPr>
        <w:rPr>
          <w:rFonts w:ascii="Book Antiqua" w:hAnsi="Book Antiqua"/>
          <w:sz w:val="22"/>
          <w:szCs w:val="22"/>
        </w:rPr>
      </w:pPr>
    </w:p>
    <w:p w14:paraId="7B651FD8" w14:textId="01357FB9" w:rsidR="00BF4A42" w:rsidRPr="00096A1D" w:rsidRDefault="00096A1D" w:rsidP="00096A1D">
      <w:pPr>
        <w:tabs>
          <w:tab w:val="left" w:pos="3660"/>
        </w:tabs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ab/>
      </w:r>
    </w:p>
    <w:sectPr w:rsidR="00BF4A42" w:rsidRPr="00096A1D">
      <w:footerReference w:type="default" r:id="rId8"/>
      <w:footerReference w:type="first" r:id="rId9"/>
      <w:pgSz w:w="11906" w:h="16838"/>
      <w:pgMar w:top="720" w:right="720" w:bottom="720" w:left="720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F891F" w14:textId="77777777" w:rsidR="009B3399" w:rsidRDefault="009B3399">
      <w:pPr>
        <w:spacing w:after="0" w:line="240" w:lineRule="auto"/>
      </w:pPr>
      <w:r>
        <w:separator/>
      </w:r>
    </w:p>
  </w:endnote>
  <w:endnote w:type="continuationSeparator" w:id="0">
    <w:p w14:paraId="03053D7C" w14:textId="77777777" w:rsidR="009B3399" w:rsidRDefault="009B3399">
      <w:pPr>
        <w:spacing w:after="0" w:line="240" w:lineRule="auto"/>
      </w:pPr>
      <w:r>
        <w:continuationSeparator/>
      </w:r>
    </w:p>
  </w:endnote>
  <w:endnote w:type="continuationNotice" w:id="1">
    <w:p w14:paraId="5BB86351" w14:textId="77777777" w:rsidR="009B3399" w:rsidRDefault="009B339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4496894"/>
      <w:docPartObj>
        <w:docPartGallery w:val="Page Numbers (Bottom of Page)"/>
        <w:docPartUnique/>
      </w:docPartObj>
    </w:sdtPr>
    <w:sdtEndPr/>
    <w:sdtContent>
      <w:sdt>
        <w:sdtPr>
          <w:id w:val="2048028505"/>
          <w:docPartObj>
            <w:docPartGallery w:val="Page Numbers (Top of Page)"/>
            <w:docPartUnique/>
          </w:docPartObj>
        </w:sdtPr>
        <w:sdtEndPr/>
        <w:sdtContent>
          <w:p w14:paraId="29B489BD" w14:textId="4D20DC98" w:rsidR="00BF4A42" w:rsidRDefault="00506F0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96A1D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96A1D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4717488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8EB9C69" w14:textId="01F4040C" w:rsidR="00BF4A42" w:rsidRDefault="00506F0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96A1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96A1D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1DC3506" w14:textId="77777777" w:rsidR="00BF4A42" w:rsidRDefault="00BF4A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41002A" w14:textId="77777777" w:rsidR="009B3399" w:rsidRDefault="009B3399">
      <w:pPr>
        <w:spacing w:after="0" w:line="240" w:lineRule="auto"/>
      </w:pPr>
      <w:r>
        <w:separator/>
      </w:r>
    </w:p>
  </w:footnote>
  <w:footnote w:type="continuationSeparator" w:id="0">
    <w:p w14:paraId="38ABA055" w14:textId="77777777" w:rsidR="009B3399" w:rsidRDefault="009B3399">
      <w:pPr>
        <w:spacing w:after="0" w:line="240" w:lineRule="auto"/>
      </w:pPr>
      <w:r>
        <w:continuationSeparator/>
      </w:r>
    </w:p>
  </w:footnote>
  <w:footnote w:type="continuationNotice" w:id="1">
    <w:p w14:paraId="527BEF51" w14:textId="77777777" w:rsidR="009B3399" w:rsidRDefault="009B339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C118D"/>
    <w:multiLevelType w:val="hybridMultilevel"/>
    <w:tmpl w:val="049E7A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B12F2B"/>
    <w:multiLevelType w:val="hybridMultilevel"/>
    <w:tmpl w:val="A63A8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52070"/>
    <w:multiLevelType w:val="hybridMultilevel"/>
    <w:tmpl w:val="59B84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77A54"/>
    <w:multiLevelType w:val="hybridMultilevel"/>
    <w:tmpl w:val="D85A6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FD23DB"/>
    <w:multiLevelType w:val="hybridMultilevel"/>
    <w:tmpl w:val="D85A6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655C8"/>
    <w:multiLevelType w:val="hybridMultilevel"/>
    <w:tmpl w:val="3E3CFAA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1F83FF8"/>
    <w:multiLevelType w:val="hybridMultilevel"/>
    <w:tmpl w:val="D85A6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1B60A6"/>
    <w:multiLevelType w:val="hybridMultilevel"/>
    <w:tmpl w:val="D85A6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67CED"/>
    <w:multiLevelType w:val="hybridMultilevel"/>
    <w:tmpl w:val="D85A6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4475F"/>
    <w:multiLevelType w:val="hybridMultilevel"/>
    <w:tmpl w:val="D85A6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465210"/>
    <w:multiLevelType w:val="hybridMultilevel"/>
    <w:tmpl w:val="D85A6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7"/>
  </w:num>
  <w:num w:numId="7">
    <w:abstractNumId w:val="9"/>
  </w:num>
  <w:num w:numId="8">
    <w:abstractNumId w:val="6"/>
  </w:num>
  <w:num w:numId="9">
    <w:abstractNumId w:val="5"/>
  </w:num>
  <w:num w:numId="10">
    <w:abstractNumId w:val="10"/>
  </w:num>
  <w:num w:numId="11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A42"/>
    <w:rsid w:val="00096A1D"/>
    <w:rsid w:val="000D1AFE"/>
    <w:rsid w:val="0010190C"/>
    <w:rsid w:val="004E7E25"/>
    <w:rsid w:val="00506F09"/>
    <w:rsid w:val="005B382D"/>
    <w:rsid w:val="00746A44"/>
    <w:rsid w:val="0091791B"/>
    <w:rsid w:val="009200BA"/>
    <w:rsid w:val="009B3399"/>
    <w:rsid w:val="00B91733"/>
    <w:rsid w:val="00BB13BD"/>
    <w:rsid w:val="00BF4A42"/>
    <w:rsid w:val="00C33E12"/>
    <w:rsid w:val="00D01979"/>
    <w:rsid w:val="00D30B92"/>
    <w:rsid w:val="00F2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96923"/>
  <w15:docId w15:val="{6CFCF612-B95F-4923-9F39-D15B9F1B4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="Calibri" w:hAnsi="Verdana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120" w:after="120"/>
      <w:outlineLvl w:val="0"/>
    </w:pPr>
    <w:rPr>
      <w:rFonts w:eastAsia="Times New Roman"/>
      <w:b/>
      <w:bCs/>
      <w:kern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spacing w:before="120" w:after="120"/>
      <w:outlineLvl w:val="1"/>
    </w:pPr>
    <w:rPr>
      <w:rFonts w:eastAsia="Times New Roman"/>
      <w:b/>
      <w:bCs/>
      <w:iCs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spacing w:before="240" w:after="60"/>
      <w:outlineLvl w:val="2"/>
    </w:pPr>
    <w:rPr>
      <w:rFonts w:eastAsia="Times New Roman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link w:val="Tekstkomentarza"/>
    <w:uiPriority w:val="99"/>
    <w:semiHidden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Pr>
      <w:sz w:val="22"/>
      <w:szCs w:val="22"/>
      <w:lang w:eastAsia="en-US"/>
    </w:rPr>
  </w:style>
  <w:style w:type="character" w:customStyle="1" w:styleId="Nagwek1Znak">
    <w:name w:val="Nagłówek 1 Znak"/>
    <w:link w:val="Nagwek1"/>
    <w:uiPriority w:val="9"/>
    <w:rPr>
      <w:rFonts w:eastAsia="Times New Roman"/>
      <w:b/>
      <w:bCs/>
      <w:kern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qFormat/>
    <w:pPr>
      <w:tabs>
        <w:tab w:val="left" w:pos="426"/>
        <w:tab w:val="right" w:leader="dot" w:pos="9072"/>
      </w:tabs>
    </w:pPr>
  </w:style>
  <w:style w:type="character" w:styleId="Hipercze">
    <w:name w:val="Hyperlink"/>
    <w:uiPriority w:val="99"/>
    <w:unhideWhenUsed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qFormat/>
    <w:pPr>
      <w:spacing w:after="100"/>
      <w:ind w:left="220"/>
    </w:pPr>
    <w:rPr>
      <w:rFonts w:eastAsia="Times New Roman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pPr>
      <w:spacing w:after="100"/>
      <w:ind w:left="440"/>
    </w:pPr>
    <w:rPr>
      <w:rFonts w:eastAsia="Times New Roman"/>
    </w:rPr>
  </w:style>
  <w:style w:type="character" w:customStyle="1" w:styleId="Nagwek2Znak">
    <w:name w:val="Nagłówek 2 Znak"/>
    <w:link w:val="Nagwek2"/>
    <w:uiPriority w:val="9"/>
    <w:rPr>
      <w:rFonts w:eastAsia="Times New Roman"/>
      <w:b/>
      <w:bCs/>
      <w:iCs/>
      <w:szCs w:val="28"/>
    </w:rPr>
  </w:style>
  <w:style w:type="character" w:customStyle="1" w:styleId="Nagwek3Znak">
    <w:name w:val="Nagłówek 3 Znak"/>
    <w:link w:val="Nagwek3"/>
    <w:uiPriority w:val="9"/>
    <w:semiHidden/>
    <w:rPr>
      <w:rFonts w:ascii="Verdana" w:eastAsia="Times New Roman" w:hAnsi="Verdana" w:cs="Times New Roman"/>
      <w:b/>
      <w:bCs/>
      <w:szCs w:val="26"/>
      <w:lang w:eastAsia="en-US"/>
    </w:rPr>
  </w:style>
  <w:style w:type="character" w:styleId="Tekstzastpczy">
    <w:name w:val="Placeholder Text"/>
    <w:basedOn w:val="Domylnaczcionkaakapitu"/>
    <w:uiPriority w:val="99"/>
    <w:semiHidden/>
    <w:rPr>
      <w:color w:val="808080"/>
    </w:rPr>
  </w:style>
  <w:style w:type="table" w:customStyle="1" w:styleId="TableGrid">
    <w:name w:val="TableGrid"/>
    <w:rPr>
      <w:rFonts w:ascii="Calibri" w:eastAsia="Times New Roman" w:hAnsi="Calibri"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</w:style>
  <w:style w:type="table" w:customStyle="1" w:styleId="Siatkatabelijasna1">
    <w:name w:val="Siatka tabeli — jasna1"/>
    <w:basedOn w:val="Standardowy"/>
    <w:uiPriority w:val="4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paragraph" w:styleId="Tekstpodstawowy">
    <w:name w:val="Body Text"/>
    <w:basedOn w:val="Normalny"/>
    <w:link w:val="TekstpodstawowyZnak"/>
    <w:pPr>
      <w:spacing w:after="0" w:line="240" w:lineRule="auto"/>
    </w:pPr>
    <w:rPr>
      <w:rFonts w:ascii="Courier New" w:eastAsia="Times New Roman" w:hAnsi="Courier New" w:cs="Times New Roman"/>
      <w:sz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eastAsia="Times New Roman" w:hAnsi="Courier New" w:cs="Times New Roman"/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1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454B8-618E-4A68-B3FC-98F12422C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1117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7806</CharactersWithSpaces>
  <SharedDoc>false</SharedDoc>
  <HLinks>
    <vt:vector size="96" baseType="variant">
      <vt:variant>
        <vt:i4>2031669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_Toc408484186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_Toc408484185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_Toc408484184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_Toc408484183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_Toc408484182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_Toc408484181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_Toc408484180</vt:lpwstr>
      </vt:variant>
      <vt:variant>
        <vt:i4>1048629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_Toc408484179</vt:lpwstr>
      </vt:variant>
      <vt:variant>
        <vt:i4>1048629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_Toc408484178</vt:lpwstr>
      </vt:variant>
      <vt:variant>
        <vt:i4>1048629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_Toc408484177</vt:lpwstr>
      </vt:variant>
      <vt:variant>
        <vt:i4>1048629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_Toc408484176</vt:lpwstr>
      </vt:variant>
      <vt:variant>
        <vt:i4>1048629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_Toc408484175</vt:lpwstr>
      </vt:variant>
      <vt:variant>
        <vt:i4>1048629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_Toc408484174</vt:lpwstr>
      </vt:variant>
      <vt:variant>
        <vt:i4>1048629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_Toc408484173</vt:lpwstr>
      </vt:variant>
      <vt:variant>
        <vt:i4>1048629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_Toc408484172</vt:lpwstr>
      </vt:variant>
      <vt:variant>
        <vt:i4>1048629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_Toc408484171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Bukowski Leszek</dc:creator>
  <cp:lastModifiedBy>Kolesińska Anna</cp:lastModifiedBy>
  <cp:revision>3</cp:revision>
  <cp:lastPrinted>2017-08-01T10:12:00Z</cp:lastPrinted>
  <dcterms:created xsi:type="dcterms:W3CDTF">2022-12-01T08:00:00Z</dcterms:created>
  <dcterms:modified xsi:type="dcterms:W3CDTF">2022-12-01T13:44:00Z</dcterms:modified>
</cp:coreProperties>
</file>