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94" w:rsidRDefault="00135516" w:rsidP="007926B3">
      <w:pPr>
        <w:pStyle w:val="p2"/>
        <w:spacing w:before="0" w:beforeAutospacing="0" w:after="0" w:afterAutospacing="0" w:line="360"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sek logotypów: Fundusze Europejskie Program Regionalny, Rzeczpospolita Polska, Podkarpackie,  Unia Europejska EFRR" style="width:452.65pt;height:34.45pt;visibility:visible;mso-wrap-style:square">
            <v:imagedata r:id="rId8" o:title=" Fundusze Europejskie Program Regionalny, Rzeczpospolita Polska, Podkarpackie,  Unia Europejska EFRR"/>
          </v:shape>
        </w:pict>
      </w:r>
    </w:p>
    <w:p w:rsidR="005F6295" w:rsidRPr="005F6295" w:rsidRDefault="005F6295" w:rsidP="005F6295">
      <w:pPr>
        <w:rPr>
          <w:sz w:val="20"/>
          <w:szCs w:val="20"/>
        </w:rPr>
      </w:pPr>
      <w:r w:rsidRPr="005F6295">
        <w:rPr>
          <w:sz w:val="20"/>
          <w:szCs w:val="20"/>
        </w:rPr>
        <w:t xml:space="preserve">RPO .FF .22.001 - N3_547 System wykrywania zmian przerzutowych w </w:t>
      </w:r>
      <w:proofErr w:type="spellStart"/>
      <w:r w:rsidRPr="005F6295">
        <w:rPr>
          <w:sz w:val="20"/>
          <w:szCs w:val="20"/>
        </w:rPr>
        <w:t>niskodawkowych</w:t>
      </w:r>
      <w:proofErr w:type="spellEnd"/>
      <w:r w:rsidRPr="005F6295">
        <w:rPr>
          <w:sz w:val="20"/>
          <w:szCs w:val="20"/>
        </w:rPr>
        <w:t xml:space="preserve"> obrazach RTG-TK z uży</w:t>
      </w:r>
      <w:r w:rsidR="00135516">
        <w:rPr>
          <w:sz w:val="20"/>
          <w:szCs w:val="20"/>
        </w:rPr>
        <w:t>ciem metod uczenia maszynowego.</w:t>
      </w:r>
    </w:p>
    <w:p w:rsidR="00135516" w:rsidRDefault="00135516" w:rsidP="007926B3">
      <w:pPr>
        <w:pStyle w:val="p2"/>
        <w:spacing w:before="0" w:beforeAutospacing="0" w:after="0" w:afterAutospacing="0" w:line="360" w:lineRule="auto"/>
        <w:jc w:val="center"/>
      </w:pPr>
    </w:p>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Pr="001708F9" w:rsidRDefault="00E00FE8" w:rsidP="007926B3">
      <w:pPr>
        <w:pStyle w:val="Zwykytekst"/>
        <w:tabs>
          <w:tab w:val="left" w:pos="142"/>
        </w:tabs>
        <w:jc w:val="center"/>
        <w:rPr>
          <w:rFonts w:ascii="Verdana" w:hAnsi="Verdana"/>
          <w:sz w:val="24"/>
          <w:szCs w:val="24"/>
          <w:lang w:val="pl-PL"/>
        </w:rPr>
      </w:pPr>
      <w:r w:rsidRPr="003209A8">
        <w:rPr>
          <w:b/>
        </w:rPr>
        <w:t xml:space="preserve">Znak sprawy: </w:t>
      </w:r>
      <w:r w:rsidR="000765AC" w:rsidRPr="000765AC">
        <w:rPr>
          <w:b/>
        </w:rPr>
        <w:t>NA/O/198/2022</w:t>
      </w:r>
      <w:r>
        <w:rPr>
          <w:b/>
          <w:lang w:val="pl-PL"/>
        </w:rPr>
        <w:t xml:space="preserve"> </w:t>
      </w:r>
      <w:r w:rsidR="000765AC" w:rsidRPr="000765AC">
        <w:rPr>
          <w:lang w:val="pl-PL"/>
        </w:rPr>
        <w:t>Rzeszów</w:t>
      </w:r>
      <w:r w:rsidR="00211900" w:rsidRPr="003209A8">
        <w:t xml:space="preserve">, </w:t>
      </w:r>
      <w:r w:rsidR="000765AC" w:rsidRPr="000765AC">
        <w:t>2022-07-2</w:t>
      </w:r>
      <w:r w:rsidR="001708F9">
        <w:rPr>
          <w:lang w:val="pl-PL"/>
        </w:rPr>
        <w:t>6</w:t>
      </w:r>
    </w:p>
    <w:p w:rsidR="007926B3" w:rsidRDefault="007926B3" w:rsidP="007926B3">
      <w:pPr>
        <w:pStyle w:val="Nagwek"/>
        <w:tabs>
          <w:tab w:val="right" w:pos="7371"/>
        </w:tabs>
        <w:rPr>
          <w:rFonts w:ascii="Verdana" w:hAnsi="Verdana"/>
          <w:b/>
          <w:bCs/>
          <w:color w:val="FF0000"/>
          <w:sz w:val="16"/>
          <w:szCs w:val="16"/>
        </w:rPr>
      </w:pPr>
    </w:p>
    <w:p w:rsidR="007926B3" w:rsidRPr="00632ADD" w:rsidRDefault="00632ADD" w:rsidP="007427DE">
      <w:pPr>
        <w:tabs>
          <w:tab w:val="center" w:pos="4536"/>
          <w:tab w:val="right" w:pos="7371"/>
          <w:tab w:val="right" w:pos="9072"/>
        </w:tabs>
        <w:jc w:val="both"/>
      </w:pPr>
      <w:r w:rsidRPr="00632ADD">
        <w:t xml:space="preserve">Zamówienie o wartości </w:t>
      </w:r>
      <w:r>
        <w:t xml:space="preserve">poniżej progu stosowania </w:t>
      </w:r>
      <w:r w:rsidRPr="00632ADD">
        <w:t>ustawy</w:t>
      </w:r>
      <w:r w:rsidR="00E67674" w:rsidRPr="00632ADD">
        <w:rPr>
          <w:bCs/>
        </w:rPr>
        <w:t xml:space="preserve"> </w:t>
      </w:r>
      <w:r w:rsidR="007427DE" w:rsidRPr="00632ADD">
        <w:rPr>
          <w:bCs/>
        </w:rPr>
        <w:t xml:space="preserve">z dnia </w:t>
      </w:r>
      <w:r w:rsidRPr="00632ADD">
        <w:t>11</w:t>
      </w:r>
      <w:r w:rsidR="007427DE" w:rsidRPr="00632ADD">
        <w:t xml:space="preserve"> </w:t>
      </w:r>
      <w:r w:rsidRPr="00632ADD">
        <w:t>września 2019</w:t>
      </w:r>
      <w:r w:rsidR="007427DE" w:rsidRPr="00632ADD">
        <w:t xml:space="preserve"> roku Prawo zamówień publicznych </w:t>
      </w:r>
      <w:r w:rsidR="000765AC" w:rsidRPr="000765AC">
        <w:t>(</w:t>
      </w:r>
      <w:proofErr w:type="spellStart"/>
      <w:r w:rsidR="000765AC" w:rsidRPr="000765AC">
        <w:t>t.j</w:t>
      </w:r>
      <w:proofErr w:type="spellEnd"/>
      <w:r w:rsidR="000765AC" w:rsidRPr="000765AC">
        <w:t xml:space="preserve">. Dz.U. z 2021r. poz. 1129 z </w:t>
      </w:r>
      <w:proofErr w:type="spellStart"/>
      <w:r w:rsidR="000765AC" w:rsidRPr="000765AC">
        <w:t>późn</w:t>
      </w:r>
      <w:proofErr w:type="spellEnd"/>
      <w:r w:rsidR="000765AC" w:rsidRPr="000765AC">
        <w:t>. zm.)</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rsidP="00632ADD">
            <w:pPr>
              <w:pStyle w:val="p5"/>
              <w:spacing w:before="0" w:beforeAutospacing="0" w:after="0" w:afterAutospacing="0" w:line="360" w:lineRule="auto"/>
              <w:rPr>
                <w:b/>
                <w:bCs/>
                <w:color w:val="000000"/>
              </w:rPr>
            </w:pPr>
            <w:r>
              <w:rPr>
                <w:b/>
                <w:bCs/>
                <w:color w:val="000000"/>
              </w:rPr>
              <w:t>I. ZAMAWIAJĄCY</w:t>
            </w:r>
          </w:p>
          <w:p w:rsidR="007926B3" w:rsidRDefault="007926B3" w:rsidP="00632ADD">
            <w:pPr>
              <w:pStyle w:val="Tekstpodstawowy"/>
              <w:rPr>
                <w:lang w:val="pl-PL" w:eastAsia="pl-PL"/>
              </w:rPr>
            </w:pPr>
            <w:r>
              <w:rPr>
                <w:lang w:val="pl-PL" w:eastAsia="pl-PL"/>
              </w:rPr>
              <w:t>Politechnika Rzeszowska im. I. Łukasiewicza</w:t>
            </w:r>
          </w:p>
          <w:p w:rsidR="007926B3" w:rsidRDefault="007926B3" w:rsidP="00632ADD">
            <w:pPr>
              <w:pStyle w:val="Tekstpodstawowy"/>
              <w:rPr>
                <w:lang w:val="pl-PL" w:eastAsia="pl-PL"/>
              </w:rPr>
            </w:pPr>
            <w:r>
              <w:rPr>
                <w:lang w:val="pl-PL" w:eastAsia="pl-PL"/>
              </w:rPr>
              <w:t>al. Powstańców Warszawy 12</w:t>
            </w:r>
          </w:p>
          <w:p w:rsidR="007926B3" w:rsidRDefault="007926B3" w:rsidP="00632ADD">
            <w:pPr>
              <w:pStyle w:val="Tekstpodstawowy"/>
              <w:rPr>
                <w:lang w:val="pl-PL" w:eastAsia="pl-PL"/>
              </w:rPr>
            </w:pPr>
            <w:r>
              <w:rPr>
                <w:lang w:val="pl-PL" w:eastAsia="pl-PL"/>
              </w:rPr>
              <w:t xml:space="preserve">35-959 Rzeszów </w:t>
            </w:r>
          </w:p>
          <w:p w:rsidR="007926B3" w:rsidRPr="001C44C9" w:rsidRDefault="007926B3" w:rsidP="00632ADD">
            <w:pPr>
              <w:pStyle w:val="Tekstpodstawowy"/>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0765AC" w:rsidP="00583EF9">
      <w:pPr>
        <w:spacing w:line="360" w:lineRule="auto"/>
        <w:rPr>
          <w:b/>
        </w:rPr>
      </w:pPr>
      <w:r w:rsidRPr="000765AC">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0765AC">
        <w:rPr>
          <w:rFonts w:ascii="Arial" w:hAnsi="Arial" w:cs="Arial"/>
          <w:sz w:val="22"/>
          <w:szCs w:val="22"/>
          <w:lang w:val="de-DE"/>
        </w:rPr>
        <w:t xml:space="preserve"> </w:t>
      </w:r>
      <w:r w:rsidR="00014627" w:rsidRPr="00A84A89">
        <w:rPr>
          <w:rFonts w:ascii="Arial" w:hAnsi="Arial" w:cs="Arial"/>
          <w:sz w:val="22"/>
          <w:szCs w:val="22"/>
          <w:lang w:val="de-DE"/>
        </w:rPr>
        <w:t xml:space="preserve">tel. </w:t>
      </w:r>
      <w:r w:rsidRPr="000765AC">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0765AC">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w:t>
      </w:r>
      <w:r w:rsidR="00975AE5">
        <w:rPr>
          <w:rFonts w:ascii="Times New Roman" w:hAnsi="Times New Roman"/>
          <w:sz w:val="24"/>
        </w:rPr>
        <w:t xml:space="preserve">nie </w:t>
      </w:r>
      <w:r>
        <w:rPr>
          <w:rFonts w:ascii="Times New Roman" w:hAnsi="Times New Roman"/>
          <w:sz w:val="24"/>
        </w:rPr>
        <w:t>dopuszcza składanie ofert częś</w:t>
      </w:r>
      <w:r w:rsidR="00975AE5">
        <w:rPr>
          <w:rFonts w:ascii="Times New Roman" w:hAnsi="Times New Roman"/>
          <w:sz w:val="24"/>
        </w:rPr>
        <w:t>ciowych i częściowy wybór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75AE5" w:rsidTr="00975AE5">
        <w:tc>
          <w:tcPr>
            <w:tcW w:w="9142" w:type="dxa"/>
            <w:shd w:val="clear" w:color="auto" w:fill="F3F3F3"/>
            <w:vAlign w:val="center"/>
          </w:tcPr>
          <w:p w:rsidR="00975AE5" w:rsidRPr="00CA0351" w:rsidRDefault="00975AE5"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975AE5" w:rsidTr="00975AE5">
        <w:tc>
          <w:tcPr>
            <w:tcW w:w="9142" w:type="dxa"/>
          </w:tcPr>
          <w:p w:rsidR="00975AE5" w:rsidRDefault="00975AE5" w:rsidP="00EA7788">
            <w:pPr>
              <w:spacing w:after="120"/>
              <w:jc w:val="both"/>
            </w:pPr>
            <w:r>
              <w:rPr>
                <w:b/>
              </w:rPr>
              <w:t>Temat</w:t>
            </w:r>
            <w:r>
              <w:t xml:space="preserve">: </w:t>
            </w:r>
            <w:r w:rsidRPr="000765AC">
              <w:t>Dostawa sprzętu: macierz dysków sieciowych i nośników danych</w:t>
            </w:r>
          </w:p>
          <w:p w:rsidR="00975AE5" w:rsidRDefault="00975AE5" w:rsidP="00EA7788">
            <w:pPr>
              <w:spacing w:after="120"/>
              <w:jc w:val="both"/>
            </w:pPr>
            <w:r>
              <w:rPr>
                <w:b/>
              </w:rPr>
              <w:t>Wspólny Słownik Zamówień</w:t>
            </w:r>
            <w:r w:rsidRPr="003F5C86">
              <w:t>:</w:t>
            </w:r>
            <w:r>
              <w:rPr>
                <w:b/>
              </w:rPr>
              <w:t xml:space="preserve"> </w:t>
            </w:r>
            <w:r w:rsidRPr="000765AC">
              <w:t>31710000-6 - Sprzęt elektroniczny</w:t>
            </w:r>
            <w:r>
              <w:t xml:space="preserve"> </w:t>
            </w:r>
          </w:p>
          <w:p w:rsidR="00975AE5" w:rsidRDefault="00975AE5" w:rsidP="00EA7788">
            <w:pPr>
              <w:spacing w:after="120"/>
              <w:jc w:val="both"/>
            </w:pPr>
            <w:r>
              <w:rPr>
                <w:b/>
              </w:rPr>
              <w:t>Opis</w:t>
            </w:r>
            <w:r>
              <w:t xml:space="preserve">: </w:t>
            </w:r>
          </w:p>
          <w:p w:rsidR="00975AE5" w:rsidRPr="000765AC" w:rsidRDefault="00975AE5" w:rsidP="00EA7788">
            <w:pPr>
              <w:spacing w:after="120"/>
              <w:jc w:val="both"/>
            </w:pPr>
            <w:r w:rsidRPr="000765AC">
              <w:t>Specyfikacja</w:t>
            </w:r>
          </w:p>
          <w:p w:rsidR="00975AE5" w:rsidRPr="00A21BF3" w:rsidRDefault="00975AE5" w:rsidP="00EA7788">
            <w:pPr>
              <w:spacing w:after="120"/>
              <w:jc w:val="both"/>
              <w:rPr>
                <w:b/>
                <w:u w:val="single"/>
              </w:rPr>
            </w:pPr>
            <w:r w:rsidRPr="00A21BF3">
              <w:rPr>
                <w:b/>
                <w:u w:val="single"/>
              </w:rPr>
              <w:t xml:space="preserve">1) Macierz dysków sieciowych - 1 szt. </w:t>
            </w:r>
          </w:p>
          <w:p w:rsidR="00975AE5" w:rsidRPr="000765AC" w:rsidRDefault="00975AE5" w:rsidP="00EA7788">
            <w:pPr>
              <w:spacing w:after="120"/>
              <w:jc w:val="both"/>
            </w:pPr>
            <w:r w:rsidRPr="000765AC">
              <w:t>Procesor</w:t>
            </w:r>
            <w:r w:rsidRPr="000765AC">
              <w:tab/>
              <w:t>czterordzeniowy,</w:t>
            </w:r>
            <w:r w:rsidRPr="000765AC">
              <w:tab/>
              <w:t>64-bitowy x86</w:t>
            </w:r>
          </w:p>
          <w:p w:rsidR="00975AE5" w:rsidRPr="000765AC" w:rsidRDefault="00975AE5" w:rsidP="00EA7788">
            <w:pPr>
              <w:spacing w:after="120"/>
              <w:jc w:val="both"/>
            </w:pPr>
            <w:r w:rsidRPr="000765AC">
              <w:t>Koprocesor arytmetyczny FPU - tak</w:t>
            </w:r>
          </w:p>
          <w:p w:rsidR="00975AE5" w:rsidRPr="000765AC" w:rsidRDefault="00975AE5" w:rsidP="00EA7788">
            <w:pPr>
              <w:spacing w:after="120"/>
              <w:jc w:val="both"/>
            </w:pPr>
            <w:r w:rsidRPr="000765AC">
              <w:t>Pamięć systemowa</w:t>
            </w:r>
            <w:r w:rsidRPr="000765AC">
              <w:tab/>
              <w:t>min. 8 GB SO-DIMM DDR3L</w:t>
            </w:r>
          </w:p>
          <w:p w:rsidR="00975AE5" w:rsidRPr="000765AC" w:rsidRDefault="00975AE5" w:rsidP="00EA7788">
            <w:pPr>
              <w:spacing w:after="120"/>
              <w:jc w:val="both"/>
            </w:pPr>
            <w:r w:rsidRPr="000765AC">
              <w:t xml:space="preserve">Pamięć </w:t>
            </w:r>
            <w:proofErr w:type="spellStart"/>
            <w:r w:rsidRPr="000765AC">
              <w:t>flash</w:t>
            </w:r>
            <w:proofErr w:type="spellEnd"/>
            <w:r w:rsidRPr="000765AC">
              <w:tab/>
              <w:t>min. 512MB (ochrona systemu operacyjnego przed podwójnych rozruchem)</w:t>
            </w:r>
          </w:p>
          <w:p w:rsidR="00975AE5" w:rsidRPr="000765AC" w:rsidRDefault="00975AE5" w:rsidP="00EA7788">
            <w:pPr>
              <w:spacing w:after="120"/>
              <w:jc w:val="both"/>
            </w:pPr>
            <w:r w:rsidRPr="000765AC">
              <w:t>Wnęka dysków</w:t>
            </w:r>
            <w:r w:rsidRPr="000765AC">
              <w:tab/>
              <w:t xml:space="preserve">min. 4 dyski 3,5-calowe SATA 6 </w:t>
            </w:r>
            <w:proofErr w:type="spellStart"/>
            <w:r w:rsidRPr="000765AC">
              <w:t>Gb</w:t>
            </w:r>
            <w:proofErr w:type="spellEnd"/>
            <w:r w:rsidRPr="000765AC">
              <w:t xml:space="preserve">/s, 3 </w:t>
            </w:r>
            <w:proofErr w:type="spellStart"/>
            <w:r w:rsidRPr="000765AC">
              <w:t>Gb</w:t>
            </w:r>
            <w:proofErr w:type="spellEnd"/>
            <w:r w:rsidRPr="000765AC">
              <w:t>/s</w:t>
            </w:r>
          </w:p>
          <w:p w:rsidR="00975AE5" w:rsidRPr="000765AC" w:rsidRDefault="00975AE5" w:rsidP="00EA7788">
            <w:pPr>
              <w:spacing w:after="120"/>
              <w:jc w:val="both"/>
            </w:pPr>
            <w:r w:rsidRPr="000765AC">
              <w:t xml:space="preserve">Zainstalowane dyski: min 2 x 6 TB, - zamontowane dyski musza być wymienione na liście zgodności dysków rekomendowanych przez producenta </w:t>
            </w:r>
          </w:p>
          <w:p w:rsidR="00975AE5" w:rsidRPr="000765AC" w:rsidRDefault="00975AE5" w:rsidP="00EA7788">
            <w:pPr>
              <w:spacing w:after="120"/>
              <w:jc w:val="both"/>
            </w:pPr>
            <w:r w:rsidRPr="000765AC">
              <w:t>Obsługa przyspieszenia pamięci podręcznej SSD</w:t>
            </w:r>
            <w:r w:rsidRPr="000765AC">
              <w:tab/>
            </w:r>
          </w:p>
          <w:p w:rsidR="00975AE5" w:rsidRPr="000765AC" w:rsidRDefault="00975AE5" w:rsidP="00EA7788">
            <w:pPr>
              <w:spacing w:after="120"/>
              <w:jc w:val="both"/>
            </w:pPr>
            <w:r w:rsidRPr="000765AC">
              <w:lastRenderedPageBreak/>
              <w:t>Port Gigabit sieci Ethernet (RJ45)</w:t>
            </w:r>
            <w:r w:rsidRPr="000765AC">
              <w:tab/>
              <w:t>min. 2</w:t>
            </w:r>
          </w:p>
          <w:p w:rsidR="00975AE5" w:rsidRPr="000765AC" w:rsidRDefault="00975AE5" w:rsidP="00EA7788">
            <w:pPr>
              <w:spacing w:after="120"/>
              <w:jc w:val="both"/>
            </w:pPr>
            <w:r w:rsidRPr="000765AC">
              <w:t>Wake on LAN (WOL)</w:t>
            </w:r>
            <w:r w:rsidRPr="000765AC">
              <w:tab/>
            </w:r>
          </w:p>
          <w:p w:rsidR="00975AE5" w:rsidRPr="000765AC" w:rsidRDefault="00975AE5" w:rsidP="00EA7788">
            <w:pPr>
              <w:spacing w:after="120"/>
              <w:jc w:val="both"/>
            </w:pPr>
            <w:r w:rsidRPr="000765AC">
              <w:t>Ramka Jumbo</w:t>
            </w:r>
            <w:r w:rsidRPr="000765AC">
              <w:tab/>
            </w:r>
          </w:p>
          <w:p w:rsidR="00975AE5" w:rsidRPr="000765AC" w:rsidRDefault="00975AE5" w:rsidP="00EA7788">
            <w:pPr>
              <w:spacing w:after="120"/>
              <w:jc w:val="both"/>
            </w:pPr>
            <w:r w:rsidRPr="000765AC">
              <w:t>Port USB 2.0</w:t>
            </w:r>
            <w:r w:rsidRPr="000765AC">
              <w:tab/>
              <w:t>min. 2</w:t>
            </w:r>
          </w:p>
          <w:p w:rsidR="00975AE5" w:rsidRPr="000765AC" w:rsidRDefault="00975AE5" w:rsidP="00EA7788">
            <w:pPr>
              <w:spacing w:after="120"/>
              <w:jc w:val="both"/>
            </w:pPr>
            <w:r w:rsidRPr="000765AC">
              <w:t>Port USB 3.2 Gen 1</w:t>
            </w:r>
            <w:r w:rsidRPr="000765AC">
              <w:tab/>
              <w:t>min.2</w:t>
            </w:r>
          </w:p>
          <w:p w:rsidR="00975AE5" w:rsidRPr="000765AC" w:rsidRDefault="00975AE5" w:rsidP="00EA7788">
            <w:pPr>
              <w:spacing w:after="120"/>
              <w:jc w:val="both"/>
            </w:pPr>
            <w:r w:rsidRPr="000765AC">
              <w:t>Czujnik podczerwieni</w:t>
            </w:r>
            <w:r w:rsidRPr="000765AC">
              <w:tab/>
              <w:t xml:space="preserve"> tak</w:t>
            </w:r>
          </w:p>
          <w:p w:rsidR="00975AE5" w:rsidRPr="000765AC" w:rsidRDefault="00975AE5" w:rsidP="00EA7788">
            <w:pPr>
              <w:spacing w:after="120"/>
              <w:jc w:val="both"/>
            </w:pPr>
            <w:r w:rsidRPr="000765AC">
              <w:t>Wyjście HDMI</w:t>
            </w:r>
            <w:r w:rsidRPr="000765AC">
              <w:tab/>
              <w:t>min. 1, (do 1080p)</w:t>
            </w:r>
          </w:p>
          <w:p w:rsidR="00975AE5" w:rsidRPr="000765AC" w:rsidRDefault="00975AE5" w:rsidP="00EA7788">
            <w:pPr>
              <w:spacing w:after="120"/>
              <w:jc w:val="both"/>
            </w:pPr>
            <w:r w:rsidRPr="000765AC">
              <w:t>Kształt</w:t>
            </w:r>
            <w:r w:rsidRPr="000765AC">
              <w:tab/>
              <w:t>Tower</w:t>
            </w:r>
          </w:p>
          <w:p w:rsidR="00975AE5" w:rsidRPr="000765AC" w:rsidRDefault="00975AE5" w:rsidP="00EA7788">
            <w:pPr>
              <w:spacing w:after="120"/>
              <w:jc w:val="both"/>
            </w:pPr>
            <w:r w:rsidRPr="000765AC">
              <w:t>Wskaźniki LED</w:t>
            </w:r>
            <w:r w:rsidRPr="000765AC">
              <w:tab/>
              <w:t>min. Zasilanie/stan, LAN, USB, HDD1-4</w:t>
            </w:r>
          </w:p>
          <w:p w:rsidR="00975AE5" w:rsidRPr="000765AC" w:rsidRDefault="00975AE5" w:rsidP="00EA7788">
            <w:pPr>
              <w:spacing w:after="120"/>
              <w:jc w:val="both"/>
            </w:pPr>
            <w:r w:rsidRPr="000765AC">
              <w:t>Zasilacz</w:t>
            </w:r>
            <w:r w:rsidRPr="000765AC">
              <w:tab/>
              <w:t>90W adapter (12VDC), 100-240VAC</w:t>
            </w:r>
          </w:p>
          <w:p w:rsidR="00975AE5" w:rsidRPr="000765AC" w:rsidRDefault="00975AE5" w:rsidP="00EA7788">
            <w:pPr>
              <w:spacing w:after="120"/>
              <w:jc w:val="both"/>
            </w:pPr>
            <w:r w:rsidRPr="000765AC">
              <w:t>Pobór mocy: Tryb uśpienia HDD</w:t>
            </w:r>
            <w:r w:rsidRPr="000765AC">
              <w:tab/>
              <w:t>max 16 W</w:t>
            </w:r>
          </w:p>
          <w:p w:rsidR="00975AE5" w:rsidRPr="000765AC" w:rsidRDefault="00975AE5" w:rsidP="00EA7788">
            <w:pPr>
              <w:spacing w:after="120"/>
              <w:jc w:val="both"/>
            </w:pPr>
            <w:r w:rsidRPr="000765AC">
              <w:t>Wentylator</w:t>
            </w:r>
            <w:r w:rsidRPr="000765AC">
              <w:tab/>
              <w:t>min. 1 x 120 mm, 12 V prądu stałego</w:t>
            </w:r>
          </w:p>
          <w:p w:rsidR="00975AE5" w:rsidRPr="000765AC" w:rsidRDefault="00975AE5" w:rsidP="00EA7788">
            <w:pPr>
              <w:spacing w:after="120"/>
              <w:jc w:val="both"/>
            </w:pPr>
            <w:r w:rsidRPr="000765AC">
              <w:t xml:space="preserve">Ostrzeżenie systemowe </w:t>
            </w:r>
            <w:r w:rsidRPr="000765AC">
              <w:tab/>
              <w:t>Brzęczyk</w:t>
            </w:r>
          </w:p>
          <w:p w:rsidR="00975AE5" w:rsidRPr="000765AC" w:rsidRDefault="00975AE5" w:rsidP="00EA7788">
            <w:pPr>
              <w:spacing w:after="120"/>
              <w:jc w:val="both"/>
            </w:pPr>
            <w:r w:rsidRPr="000765AC">
              <w:t>Złącze bezpieczeństwa tak</w:t>
            </w:r>
          </w:p>
          <w:p w:rsidR="00975AE5" w:rsidRPr="000765AC" w:rsidRDefault="00975AE5" w:rsidP="00EA7788">
            <w:pPr>
              <w:spacing w:after="120"/>
              <w:jc w:val="both"/>
            </w:pPr>
            <w:r w:rsidRPr="000765AC">
              <w:t>Urządzenie musi być dostarczone i uruchomione w siedzibie zamawiającego przez wykwalifikowany personel dostawcy, zamawiający nie dopuszcza dostawy przesyłką, np. kurierem</w:t>
            </w:r>
          </w:p>
          <w:p w:rsidR="00975AE5" w:rsidRPr="00A21BF3" w:rsidRDefault="00975AE5" w:rsidP="00EA7788">
            <w:pPr>
              <w:spacing w:after="120"/>
              <w:jc w:val="both"/>
              <w:rPr>
                <w:b/>
                <w:u w:val="single"/>
              </w:rPr>
            </w:pPr>
            <w:r w:rsidRPr="00A21BF3">
              <w:rPr>
                <w:b/>
                <w:u w:val="single"/>
              </w:rPr>
              <w:t>2) Dyski twarde HDD do przechowywania danych - 6 szt.</w:t>
            </w:r>
          </w:p>
          <w:p w:rsidR="00975AE5" w:rsidRPr="000765AC" w:rsidRDefault="00975AE5" w:rsidP="00EA7788">
            <w:pPr>
              <w:spacing w:after="120"/>
              <w:jc w:val="both"/>
            </w:pPr>
            <w:r w:rsidRPr="000765AC">
              <w:t>Dysk przeznaczony do przechowywania danych,  Inteligentne zarządzanie komendami równoczesnego zapisu NCQ, system kontroli obrotów , funkcja zapobiegania spadkom wydajności podczas odzyskiwania danych, technologia podwójnego uruchamiania, kompatybilny z NAS, min. gwarancja producenta:</w:t>
            </w:r>
            <w:r w:rsidRPr="000765AC">
              <w:tab/>
              <w:t>60 miesięcy w serwisie</w:t>
            </w:r>
          </w:p>
          <w:p w:rsidR="00975AE5" w:rsidRPr="000765AC" w:rsidRDefault="00975AE5" w:rsidP="00EA7788">
            <w:pPr>
              <w:spacing w:after="120"/>
              <w:jc w:val="both"/>
            </w:pPr>
            <w:r w:rsidRPr="000765AC">
              <w:t>Pojemność:</w:t>
            </w:r>
            <w:r w:rsidRPr="000765AC">
              <w:tab/>
              <w:t>min. 6 TB</w:t>
            </w:r>
          </w:p>
          <w:p w:rsidR="00975AE5" w:rsidRPr="000765AC" w:rsidRDefault="00975AE5" w:rsidP="00EA7788">
            <w:pPr>
              <w:spacing w:after="120"/>
              <w:jc w:val="both"/>
            </w:pPr>
            <w:r w:rsidRPr="000765AC">
              <w:t>Rodzaj obudowy:</w:t>
            </w:r>
            <w:r w:rsidRPr="000765AC">
              <w:tab/>
              <w:t>3,5"</w:t>
            </w:r>
          </w:p>
          <w:p w:rsidR="00975AE5" w:rsidRPr="000765AC" w:rsidRDefault="00975AE5" w:rsidP="00EA7788">
            <w:pPr>
              <w:spacing w:after="120"/>
              <w:jc w:val="both"/>
            </w:pPr>
            <w:r w:rsidRPr="000765AC">
              <w:t>Interfejs:</w:t>
            </w:r>
            <w:r w:rsidRPr="000765AC">
              <w:tab/>
              <w:t>SATA 6Gb/s</w:t>
            </w:r>
          </w:p>
          <w:p w:rsidR="00975AE5" w:rsidRPr="000765AC" w:rsidRDefault="00975AE5" w:rsidP="00EA7788">
            <w:pPr>
              <w:spacing w:after="120"/>
              <w:jc w:val="both"/>
            </w:pPr>
            <w:r w:rsidRPr="000765AC">
              <w:t>Wielkość bufora:</w:t>
            </w:r>
            <w:r w:rsidRPr="000765AC">
              <w:tab/>
              <w:t>min. 256 MB</w:t>
            </w:r>
          </w:p>
          <w:p w:rsidR="00975AE5" w:rsidRPr="000765AC" w:rsidRDefault="00975AE5" w:rsidP="00EA7788">
            <w:pPr>
              <w:spacing w:after="120"/>
              <w:jc w:val="both"/>
            </w:pPr>
            <w:r w:rsidRPr="000765AC">
              <w:t>Bajty na sektor:</w:t>
            </w:r>
            <w:r w:rsidRPr="000765AC">
              <w:tab/>
              <w:t>512</w:t>
            </w:r>
          </w:p>
          <w:p w:rsidR="00975AE5" w:rsidRPr="000765AC" w:rsidRDefault="00975AE5" w:rsidP="00EA7788">
            <w:pPr>
              <w:spacing w:after="120"/>
              <w:jc w:val="both"/>
            </w:pPr>
            <w:r w:rsidRPr="000765AC">
              <w:t>Szybkość transmisji urządzenia:</w:t>
            </w:r>
            <w:r w:rsidRPr="000765AC">
              <w:tab/>
              <w:t xml:space="preserve">min. 600 </w:t>
            </w:r>
            <w:proofErr w:type="spellStart"/>
            <w:r w:rsidRPr="000765AC">
              <w:t>MBps</w:t>
            </w:r>
            <w:proofErr w:type="spellEnd"/>
            <w:r w:rsidRPr="000765AC">
              <w:t xml:space="preserve"> (zewnętrzna)</w:t>
            </w:r>
          </w:p>
          <w:p w:rsidR="00975AE5" w:rsidRPr="000765AC" w:rsidRDefault="00975AE5" w:rsidP="00EA7788">
            <w:pPr>
              <w:spacing w:after="120"/>
              <w:jc w:val="both"/>
            </w:pPr>
            <w:r w:rsidRPr="000765AC">
              <w:t>Szybkość wewnętrzna danych:</w:t>
            </w:r>
            <w:r w:rsidRPr="000765AC">
              <w:tab/>
              <w:t xml:space="preserve">min. 255 </w:t>
            </w:r>
            <w:proofErr w:type="spellStart"/>
            <w:r w:rsidRPr="000765AC">
              <w:t>MBps</w:t>
            </w:r>
            <w:proofErr w:type="spellEnd"/>
          </w:p>
          <w:p w:rsidR="00975AE5" w:rsidRPr="000765AC" w:rsidRDefault="00975AE5" w:rsidP="00EA7788">
            <w:pPr>
              <w:spacing w:after="120"/>
              <w:jc w:val="both"/>
            </w:pPr>
            <w:r w:rsidRPr="000765AC">
              <w:t>Prędkość obrotowa:</w:t>
            </w:r>
            <w:r w:rsidRPr="000765AC">
              <w:tab/>
              <w:t xml:space="preserve">min. 7200 </w:t>
            </w:r>
            <w:proofErr w:type="spellStart"/>
            <w:r w:rsidRPr="000765AC">
              <w:t>obr</w:t>
            </w:r>
            <w:proofErr w:type="spellEnd"/>
            <w:r w:rsidRPr="000765AC">
              <w:t>/min</w:t>
            </w:r>
          </w:p>
          <w:p w:rsidR="00975AE5" w:rsidRPr="000765AC" w:rsidRDefault="00975AE5" w:rsidP="00EA7788">
            <w:pPr>
              <w:spacing w:after="120"/>
              <w:jc w:val="both"/>
            </w:pPr>
            <w:r w:rsidRPr="000765AC">
              <w:t xml:space="preserve"> Niezawodność</w:t>
            </w:r>
          </w:p>
          <w:p w:rsidR="00975AE5" w:rsidRPr="000765AC" w:rsidRDefault="00975AE5" w:rsidP="00EA7788">
            <w:pPr>
              <w:spacing w:after="120"/>
              <w:jc w:val="both"/>
            </w:pPr>
            <w:r w:rsidRPr="000765AC">
              <w:t>MTBF:</w:t>
            </w:r>
            <w:r w:rsidRPr="000765AC">
              <w:tab/>
              <w:t>min. 2 miliony godziny</w:t>
            </w:r>
          </w:p>
          <w:p w:rsidR="00975AE5" w:rsidRPr="000765AC" w:rsidRDefault="00975AE5" w:rsidP="00EA7788">
            <w:pPr>
              <w:spacing w:after="120"/>
              <w:jc w:val="both"/>
            </w:pPr>
            <w:r w:rsidRPr="000765AC">
              <w:t>Praca 24x7:</w:t>
            </w:r>
            <w:r w:rsidRPr="000765AC">
              <w:tab/>
              <w:t>Tak</w:t>
            </w:r>
          </w:p>
          <w:p w:rsidR="00975AE5" w:rsidRPr="000765AC" w:rsidRDefault="00975AE5" w:rsidP="00EA7788">
            <w:pPr>
              <w:spacing w:after="120"/>
              <w:jc w:val="both"/>
            </w:pPr>
            <w:r w:rsidRPr="000765AC">
              <w:t>Błędy nienaprawialne:</w:t>
            </w:r>
            <w:r w:rsidRPr="000765AC">
              <w:tab/>
              <w:t>max. 1 na 10^15</w:t>
            </w:r>
          </w:p>
          <w:p w:rsidR="00975AE5" w:rsidRPr="000765AC" w:rsidRDefault="00975AE5" w:rsidP="00EA7788">
            <w:pPr>
              <w:spacing w:after="120"/>
              <w:jc w:val="both"/>
            </w:pPr>
            <w:r w:rsidRPr="000765AC">
              <w:t>Interfejsy:</w:t>
            </w:r>
            <w:r w:rsidRPr="000765AC">
              <w:tab/>
              <w:t xml:space="preserve">min. 1 x SATA 6 </w:t>
            </w:r>
            <w:proofErr w:type="spellStart"/>
            <w:r w:rsidRPr="000765AC">
              <w:t>Gb</w:t>
            </w:r>
            <w:proofErr w:type="spellEnd"/>
            <w:r w:rsidRPr="000765AC">
              <w:t>/s</w:t>
            </w:r>
          </w:p>
          <w:p w:rsidR="00975AE5" w:rsidRPr="000765AC" w:rsidRDefault="00975AE5" w:rsidP="00EA7788">
            <w:pPr>
              <w:spacing w:after="120"/>
              <w:jc w:val="both"/>
            </w:pPr>
            <w:r w:rsidRPr="000765AC">
              <w:t>Zużycie energii:</w:t>
            </w:r>
            <w:r w:rsidRPr="000765AC">
              <w:tab/>
              <w:t>max. 7 wat (odczyt),  6 wat (bezczynność)</w:t>
            </w:r>
          </w:p>
          <w:p w:rsidR="00975AE5" w:rsidRPr="000765AC" w:rsidRDefault="00975AE5" w:rsidP="00EA7788">
            <w:pPr>
              <w:spacing w:after="120"/>
              <w:jc w:val="both"/>
            </w:pPr>
            <w:r w:rsidRPr="000765AC">
              <w:lastRenderedPageBreak/>
              <w:t>Zgodność z normami:</w:t>
            </w:r>
            <w:r w:rsidRPr="000765AC">
              <w:tab/>
            </w:r>
            <w:proofErr w:type="spellStart"/>
            <w:r w:rsidRPr="000765AC">
              <w:t>RoHS</w:t>
            </w:r>
            <w:proofErr w:type="spellEnd"/>
          </w:p>
          <w:p w:rsidR="00975AE5" w:rsidRPr="00A21BF3" w:rsidRDefault="00975AE5" w:rsidP="00EA7788">
            <w:pPr>
              <w:spacing w:after="120"/>
              <w:jc w:val="both"/>
              <w:rPr>
                <w:b/>
                <w:u w:val="single"/>
              </w:rPr>
            </w:pPr>
            <w:r w:rsidRPr="00A21BF3">
              <w:rPr>
                <w:b/>
                <w:u w:val="single"/>
              </w:rPr>
              <w:t>3) Dyski twarde SSD do przechowywania danych - 6 szt.</w:t>
            </w:r>
          </w:p>
          <w:p w:rsidR="00975AE5" w:rsidRPr="000765AC" w:rsidRDefault="00975AE5" w:rsidP="00EA7788">
            <w:pPr>
              <w:spacing w:after="120"/>
              <w:jc w:val="both"/>
            </w:pPr>
            <w:r w:rsidRPr="000765AC">
              <w:t>dysk wewnętrzny SSD do ciągłej pracy 24x7, 3D NAND Technology o minimalnej gwarancji producenta</w:t>
            </w:r>
            <w:r w:rsidRPr="000765AC">
              <w:tab/>
              <w:t>60 miesięcy w serwisie</w:t>
            </w:r>
          </w:p>
          <w:p w:rsidR="00975AE5" w:rsidRPr="000765AC" w:rsidRDefault="00975AE5" w:rsidP="00EA7788">
            <w:pPr>
              <w:spacing w:after="120"/>
              <w:jc w:val="both"/>
            </w:pPr>
            <w:r w:rsidRPr="000765AC">
              <w:t>Pojemność:</w:t>
            </w:r>
            <w:r w:rsidRPr="000765AC">
              <w:tab/>
              <w:t>min. 2 TB</w:t>
            </w:r>
          </w:p>
          <w:p w:rsidR="00975AE5" w:rsidRPr="000765AC" w:rsidRDefault="00975AE5" w:rsidP="00EA7788">
            <w:pPr>
              <w:spacing w:after="120"/>
              <w:jc w:val="both"/>
            </w:pPr>
            <w:r w:rsidRPr="000765AC">
              <w:t>Rodzaj obudowy:</w:t>
            </w:r>
            <w:r w:rsidRPr="000765AC">
              <w:tab/>
              <w:t>2,5"</w:t>
            </w:r>
          </w:p>
          <w:p w:rsidR="00975AE5" w:rsidRPr="000765AC" w:rsidRDefault="00975AE5" w:rsidP="00EA7788">
            <w:pPr>
              <w:spacing w:after="120"/>
              <w:jc w:val="both"/>
            </w:pPr>
            <w:r w:rsidRPr="000765AC">
              <w:t>Wysokość:</w:t>
            </w:r>
            <w:r w:rsidRPr="000765AC">
              <w:tab/>
              <w:t>max. 7 mm</w:t>
            </w:r>
          </w:p>
          <w:p w:rsidR="00975AE5" w:rsidRPr="000765AC" w:rsidRDefault="00975AE5" w:rsidP="00EA7788">
            <w:pPr>
              <w:spacing w:after="120"/>
              <w:jc w:val="both"/>
            </w:pPr>
            <w:r w:rsidRPr="000765AC">
              <w:t>Wytrzymałość SSD:</w:t>
            </w:r>
            <w:r w:rsidRPr="000765AC">
              <w:tab/>
              <w:t>min. 1300 TB</w:t>
            </w:r>
          </w:p>
          <w:p w:rsidR="00975AE5" w:rsidRPr="000765AC" w:rsidRDefault="00975AE5" w:rsidP="00EA7788">
            <w:pPr>
              <w:spacing w:after="120"/>
              <w:jc w:val="both"/>
            </w:pPr>
            <w:r w:rsidRPr="000765AC">
              <w:t>Szybkość transmisji urządzenia:</w:t>
            </w:r>
            <w:r w:rsidRPr="000765AC">
              <w:tab/>
              <w:t xml:space="preserve">min. 600 </w:t>
            </w:r>
            <w:proofErr w:type="spellStart"/>
            <w:r w:rsidRPr="000765AC">
              <w:t>MBps</w:t>
            </w:r>
            <w:proofErr w:type="spellEnd"/>
            <w:r w:rsidRPr="000765AC">
              <w:t xml:space="preserve"> (zewnętrzna)</w:t>
            </w:r>
          </w:p>
          <w:p w:rsidR="00975AE5" w:rsidRPr="000765AC" w:rsidRDefault="00975AE5" w:rsidP="00EA7788">
            <w:pPr>
              <w:spacing w:after="120"/>
              <w:jc w:val="both"/>
            </w:pPr>
            <w:r w:rsidRPr="000765AC">
              <w:t>Szybkość wewnętrzna danych:</w:t>
            </w:r>
            <w:r w:rsidRPr="000765AC">
              <w:tab/>
              <w:t xml:space="preserve">min. 560 </w:t>
            </w:r>
            <w:proofErr w:type="spellStart"/>
            <w:r w:rsidRPr="000765AC">
              <w:t>MBps</w:t>
            </w:r>
            <w:proofErr w:type="spellEnd"/>
            <w:r w:rsidRPr="000765AC">
              <w:t xml:space="preserve"> (odczyt) / 530 </w:t>
            </w:r>
            <w:proofErr w:type="spellStart"/>
            <w:r w:rsidRPr="000765AC">
              <w:t>MBps</w:t>
            </w:r>
            <w:proofErr w:type="spellEnd"/>
            <w:r w:rsidRPr="000765AC">
              <w:t xml:space="preserve"> (zapis)</w:t>
            </w:r>
          </w:p>
          <w:p w:rsidR="00975AE5" w:rsidRPr="000765AC" w:rsidRDefault="00975AE5" w:rsidP="00EA7788">
            <w:pPr>
              <w:spacing w:after="120"/>
              <w:jc w:val="both"/>
            </w:pPr>
            <w:r w:rsidRPr="000765AC">
              <w:t>Odczyt losowy 4 KB:</w:t>
            </w:r>
            <w:r w:rsidRPr="000765AC">
              <w:tab/>
              <w:t>min. 95000 IOPS</w:t>
            </w:r>
          </w:p>
          <w:p w:rsidR="00975AE5" w:rsidRPr="000765AC" w:rsidRDefault="00975AE5" w:rsidP="00EA7788">
            <w:pPr>
              <w:spacing w:after="120"/>
              <w:jc w:val="both"/>
            </w:pPr>
            <w:r w:rsidRPr="000765AC">
              <w:t>Zapis losowy 4KB:</w:t>
            </w:r>
            <w:r w:rsidRPr="000765AC">
              <w:tab/>
              <w:t>min. 85000 IOPS</w:t>
            </w:r>
          </w:p>
          <w:p w:rsidR="00975AE5" w:rsidRPr="000765AC" w:rsidRDefault="00975AE5" w:rsidP="00EA7788">
            <w:pPr>
              <w:spacing w:after="120"/>
              <w:jc w:val="both"/>
            </w:pPr>
            <w:r w:rsidRPr="000765AC">
              <w:t xml:space="preserve"> Niezawodność</w:t>
            </w:r>
          </w:p>
          <w:p w:rsidR="00975AE5" w:rsidRPr="000765AC" w:rsidRDefault="00975AE5" w:rsidP="00EA7788">
            <w:pPr>
              <w:spacing w:after="120"/>
              <w:jc w:val="both"/>
            </w:pPr>
            <w:r w:rsidRPr="000765AC">
              <w:t>MTBF:</w:t>
            </w:r>
            <w:r w:rsidRPr="000765AC">
              <w:tab/>
              <w:t>min. 2 miliony godziny</w:t>
            </w:r>
          </w:p>
          <w:p w:rsidR="00975AE5" w:rsidRPr="000765AC" w:rsidRDefault="00975AE5" w:rsidP="00EA7788">
            <w:pPr>
              <w:spacing w:after="120"/>
              <w:jc w:val="both"/>
            </w:pPr>
            <w:r w:rsidRPr="000765AC">
              <w:t>Praca 24x7:</w:t>
            </w:r>
            <w:r w:rsidRPr="000765AC">
              <w:tab/>
              <w:t>Tak</w:t>
            </w:r>
          </w:p>
          <w:p w:rsidR="00975AE5" w:rsidRPr="000765AC" w:rsidRDefault="00975AE5" w:rsidP="00EA7788">
            <w:pPr>
              <w:spacing w:after="120"/>
              <w:jc w:val="both"/>
            </w:pPr>
            <w:r w:rsidRPr="000765AC">
              <w:t xml:space="preserve"> Rozszerzenie i łączność</w:t>
            </w:r>
          </w:p>
          <w:p w:rsidR="00975AE5" w:rsidRPr="000765AC" w:rsidRDefault="00975AE5" w:rsidP="00EA7788">
            <w:pPr>
              <w:spacing w:after="120"/>
              <w:jc w:val="both"/>
            </w:pPr>
            <w:r w:rsidRPr="000765AC">
              <w:t>Interfejsy:</w:t>
            </w:r>
            <w:r w:rsidRPr="000765AC">
              <w:tab/>
              <w:t xml:space="preserve">1 x SATA 6 </w:t>
            </w:r>
            <w:proofErr w:type="spellStart"/>
            <w:r w:rsidRPr="000765AC">
              <w:t>Gb</w:t>
            </w:r>
            <w:proofErr w:type="spellEnd"/>
            <w:r w:rsidRPr="000765AC">
              <w:t>/s</w:t>
            </w:r>
          </w:p>
          <w:p w:rsidR="00975AE5" w:rsidRPr="000765AC" w:rsidRDefault="00975AE5" w:rsidP="00EA7788">
            <w:pPr>
              <w:spacing w:after="120"/>
              <w:jc w:val="both"/>
            </w:pPr>
            <w:r w:rsidRPr="000765AC">
              <w:t>Kompatybilna Wnęka:</w:t>
            </w:r>
            <w:r w:rsidRPr="000765AC">
              <w:tab/>
              <w:t>2,5"</w:t>
            </w:r>
          </w:p>
          <w:p w:rsidR="00975AE5" w:rsidRPr="000765AC" w:rsidRDefault="00975AE5" w:rsidP="00EA7788">
            <w:pPr>
              <w:spacing w:after="120"/>
              <w:jc w:val="both"/>
            </w:pPr>
            <w:r w:rsidRPr="000765AC">
              <w:t>Zużycie energii:</w:t>
            </w:r>
            <w:r w:rsidRPr="000765AC">
              <w:tab/>
              <w:t xml:space="preserve">max. 60 </w:t>
            </w:r>
            <w:proofErr w:type="spellStart"/>
            <w:r w:rsidRPr="000765AC">
              <w:t>mW</w:t>
            </w:r>
            <w:proofErr w:type="spellEnd"/>
            <w:r w:rsidRPr="000765AC">
              <w:t xml:space="preserve"> (aktywny), 3000 </w:t>
            </w:r>
            <w:proofErr w:type="spellStart"/>
            <w:r w:rsidRPr="000765AC">
              <w:t>mW</w:t>
            </w:r>
            <w:proofErr w:type="spellEnd"/>
            <w:r w:rsidRPr="000765AC">
              <w:t xml:space="preserve"> (odczyt), 3750 wat (zapis), 56 </w:t>
            </w:r>
            <w:proofErr w:type="spellStart"/>
            <w:r w:rsidRPr="000765AC">
              <w:t>mW</w:t>
            </w:r>
            <w:proofErr w:type="spellEnd"/>
            <w:r w:rsidRPr="000765AC">
              <w:t xml:space="preserve"> (stan uśpienia)</w:t>
            </w:r>
          </w:p>
          <w:p w:rsidR="00975AE5" w:rsidRPr="000765AC" w:rsidRDefault="00975AE5" w:rsidP="00EA7788">
            <w:pPr>
              <w:spacing w:after="120"/>
              <w:jc w:val="both"/>
            </w:pPr>
            <w:r w:rsidRPr="000765AC">
              <w:t>Zgodność z normami:</w:t>
            </w:r>
            <w:r w:rsidRPr="000765AC">
              <w:tab/>
              <w:t xml:space="preserve">UL, TUV, VCCI, BSMI, FCC, KC, </w:t>
            </w:r>
            <w:proofErr w:type="spellStart"/>
            <w:r w:rsidRPr="000765AC">
              <w:t>Morocco</w:t>
            </w:r>
            <w:proofErr w:type="spellEnd"/>
          </w:p>
          <w:p w:rsidR="00975AE5" w:rsidRPr="000765AC" w:rsidRDefault="00975AE5" w:rsidP="00EA7788">
            <w:pPr>
              <w:spacing w:after="120"/>
              <w:jc w:val="both"/>
            </w:pPr>
            <w:r w:rsidRPr="000765AC">
              <w:t>Odporność na wstrząsy (w stanie spoczynku):</w:t>
            </w:r>
            <w:r w:rsidRPr="000765AC">
              <w:tab/>
              <w:t>min. 1500 g @ półokres sinusoidy 0,5 ms</w:t>
            </w:r>
          </w:p>
          <w:p w:rsidR="00975AE5" w:rsidRPr="000765AC" w:rsidRDefault="00975AE5" w:rsidP="00EA7788">
            <w:pPr>
              <w:spacing w:after="120"/>
              <w:jc w:val="both"/>
            </w:pPr>
            <w:r w:rsidRPr="000765AC">
              <w:t>Odporność na drgania (podczas pracy):</w:t>
            </w:r>
            <w:r w:rsidRPr="000765AC">
              <w:tab/>
              <w:t xml:space="preserve">min. 5 g @ 10-2000 </w:t>
            </w:r>
            <w:proofErr w:type="spellStart"/>
            <w:r w:rsidRPr="000765AC">
              <w:t>Hz</w:t>
            </w:r>
            <w:proofErr w:type="spellEnd"/>
          </w:p>
          <w:p w:rsidR="00975AE5" w:rsidRPr="000765AC" w:rsidRDefault="00975AE5" w:rsidP="00EA7788">
            <w:pPr>
              <w:spacing w:after="120"/>
              <w:jc w:val="both"/>
            </w:pPr>
            <w:r w:rsidRPr="000765AC">
              <w:t>Odporność na drgania (w stanie spoczynku):</w:t>
            </w:r>
            <w:r w:rsidRPr="000765AC">
              <w:tab/>
              <w:t xml:space="preserve">min.  4.9 g @ 7-800 </w:t>
            </w:r>
            <w:proofErr w:type="spellStart"/>
            <w:r w:rsidRPr="000765AC">
              <w:t>Hz</w:t>
            </w:r>
            <w:proofErr w:type="spellEnd"/>
          </w:p>
          <w:p w:rsidR="00975AE5" w:rsidRPr="00A21BF3" w:rsidRDefault="00975AE5" w:rsidP="00EA7788">
            <w:pPr>
              <w:spacing w:after="120"/>
              <w:jc w:val="both"/>
              <w:rPr>
                <w:b/>
                <w:u w:val="single"/>
              </w:rPr>
            </w:pPr>
            <w:r w:rsidRPr="00A21BF3">
              <w:rPr>
                <w:b/>
                <w:u w:val="single"/>
              </w:rPr>
              <w:t xml:space="preserve">4) Zasilacz awaryjny do macierzy dyskowych - 1 szt. </w:t>
            </w:r>
          </w:p>
          <w:p w:rsidR="00975AE5" w:rsidRPr="000765AC" w:rsidRDefault="00975AE5" w:rsidP="00EA7788">
            <w:pPr>
              <w:spacing w:after="120"/>
              <w:jc w:val="both"/>
            </w:pPr>
            <w:r w:rsidRPr="000765AC">
              <w:t>Kształt napięcia wyjściowego -Sinusoida pełna</w:t>
            </w:r>
          </w:p>
          <w:p w:rsidR="00975AE5" w:rsidRPr="000765AC" w:rsidRDefault="00975AE5" w:rsidP="00EA7788">
            <w:pPr>
              <w:spacing w:after="120"/>
              <w:jc w:val="both"/>
            </w:pPr>
            <w:r w:rsidRPr="000765AC">
              <w:t>Moc skuteczna min. 540 W</w:t>
            </w:r>
          </w:p>
          <w:p w:rsidR="00975AE5" w:rsidRPr="000765AC" w:rsidRDefault="00975AE5" w:rsidP="00EA7788">
            <w:pPr>
              <w:spacing w:after="120"/>
              <w:jc w:val="both"/>
            </w:pPr>
            <w:r w:rsidRPr="000765AC">
              <w:t>Moc pozorna min. 890 VA</w:t>
            </w:r>
          </w:p>
          <w:p w:rsidR="00975AE5" w:rsidRPr="000765AC" w:rsidRDefault="00975AE5" w:rsidP="00EA7788">
            <w:pPr>
              <w:spacing w:after="120"/>
              <w:jc w:val="both"/>
            </w:pPr>
            <w:r w:rsidRPr="000765AC">
              <w:t>Czas podtrzymania dla obciążenia 100% min.1 minuta</w:t>
            </w:r>
          </w:p>
          <w:p w:rsidR="00975AE5" w:rsidRPr="000765AC" w:rsidRDefault="00975AE5" w:rsidP="00EA7788">
            <w:pPr>
              <w:spacing w:after="120"/>
              <w:jc w:val="both"/>
            </w:pPr>
            <w:r w:rsidRPr="000765AC">
              <w:t>Czas podtrzymania dla obciążenia 50% min.7 minut</w:t>
            </w:r>
          </w:p>
          <w:p w:rsidR="00975AE5" w:rsidRPr="000765AC" w:rsidRDefault="00975AE5" w:rsidP="00EA7788">
            <w:pPr>
              <w:spacing w:after="120"/>
              <w:jc w:val="both"/>
            </w:pPr>
            <w:r w:rsidRPr="000765AC">
              <w:t>Czas przełączania max. 4 ms</w:t>
            </w:r>
          </w:p>
          <w:p w:rsidR="00975AE5" w:rsidRPr="000765AC" w:rsidRDefault="00975AE5" w:rsidP="00EA7788">
            <w:pPr>
              <w:spacing w:after="120"/>
              <w:jc w:val="both"/>
            </w:pPr>
            <w:r w:rsidRPr="000765AC">
              <w:t>Średni czas ładowania max. 8h</w:t>
            </w:r>
          </w:p>
          <w:p w:rsidR="00975AE5" w:rsidRPr="000765AC" w:rsidRDefault="00975AE5" w:rsidP="00EA7788">
            <w:pPr>
              <w:spacing w:after="120"/>
              <w:jc w:val="both"/>
            </w:pPr>
            <w:r w:rsidRPr="000765AC">
              <w:t>Architektura Line-</w:t>
            </w:r>
            <w:proofErr w:type="spellStart"/>
            <w:r w:rsidRPr="000765AC">
              <w:t>interactive</w:t>
            </w:r>
            <w:proofErr w:type="spellEnd"/>
            <w:r w:rsidRPr="000765AC">
              <w:t xml:space="preserve"> - tak</w:t>
            </w:r>
          </w:p>
          <w:p w:rsidR="00975AE5" w:rsidRPr="000765AC" w:rsidRDefault="00975AE5" w:rsidP="00EA7788">
            <w:pPr>
              <w:spacing w:after="120"/>
              <w:jc w:val="both"/>
            </w:pPr>
            <w:r w:rsidRPr="000765AC">
              <w:t>Obudowa Tower - tak</w:t>
            </w:r>
          </w:p>
          <w:p w:rsidR="00975AE5" w:rsidRPr="000765AC" w:rsidRDefault="00975AE5" w:rsidP="00EA7788">
            <w:pPr>
              <w:spacing w:after="120"/>
              <w:jc w:val="both"/>
            </w:pPr>
            <w:r w:rsidRPr="000765AC">
              <w:t>Zimny start Tak</w:t>
            </w:r>
          </w:p>
          <w:p w:rsidR="00975AE5" w:rsidRPr="000765AC" w:rsidRDefault="00975AE5" w:rsidP="00EA7788">
            <w:pPr>
              <w:spacing w:after="120"/>
              <w:jc w:val="both"/>
            </w:pPr>
            <w:r w:rsidRPr="000765AC">
              <w:lastRenderedPageBreak/>
              <w:t>Automatyczna regulacja napięcia (AVR) Tak</w:t>
            </w:r>
          </w:p>
          <w:p w:rsidR="00975AE5" w:rsidRPr="000765AC" w:rsidRDefault="00975AE5" w:rsidP="00EA7788">
            <w:pPr>
              <w:spacing w:after="120"/>
              <w:jc w:val="both"/>
            </w:pPr>
            <w:r w:rsidRPr="000765AC">
              <w:t xml:space="preserve">Gniazda </w:t>
            </w:r>
            <w:proofErr w:type="spellStart"/>
            <w:r w:rsidRPr="000765AC">
              <w:t>schuko</w:t>
            </w:r>
            <w:proofErr w:type="spellEnd"/>
            <w:r w:rsidRPr="000765AC">
              <w:t xml:space="preserve"> min. 6</w:t>
            </w:r>
          </w:p>
          <w:p w:rsidR="00975AE5" w:rsidRPr="000765AC" w:rsidRDefault="00975AE5" w:rsidP="00EA7788">
            <w:pPr>
              <w:spacing w:after="120"/>
              <w:jc w:val="both"/>
            </w:pPr>
            <w:r w:rsidRPr="000765AC">
              <w:t>Gniazda RJ-11/RJ-45 (Combo) Tak, wejście i wyjście</w:t>
            </w:r>
          </w:p>
          <w:p w:rsidR="00975AE5" w:rsidRPr="000765AC" w:rsidRDefault="00975AE5" w:rsidP="00EA7788">
            <w:pPr>
              <w:spacing w:after="120"/>
              <w:jc w:val="both"/>
            </w:pPr>
            <w:r w:rsidRPr="000765AC">
              <w:t>Ochrona telefonu/sieci</w:t>
            </w:r>
          </w:p>
          <w:p w:rsidR="00975AE5" w:rsidRPr="000765AC" w:rsidRDefault="00975AE5" w:rsidP="00EA7788">
            <w:pPr>
              <w:spacing w:after="120"/>
              <w:jc w:val="both"/>
            </w:pPr>
            <w:r w:rsidRPr="000765AC">
              <w:t>Zasilacz  musi być dostarczony i uruchomiony w siedzibie zamawiającego przez wykwalifikowany personel dostawcy, zamawiający nie dopuszcza dostawy przesyłką , np. kurierem</w:t>
            </w:r>
          </w:p>
          <w:p w:rsidR="00975AE5" w:rsidRPr="00A21BF3" w:rsidRDefault="00975AE5" w:rsidP="00EA7788">
            <w:pPr>
              <w:spacing w:after="120"/>
              <w:jc w:val="both"/>
              <w:rPr>
                <w:b/>
                <w:u w:val="single"/>
              </w:rPr>
            </w:pPr>
            <w:r w:rsidRPr="00A21BF3">
              <w:rPr>
                <w:b/>
                <w:u w:val="single"/>
              </w:rPr>
              <w:t>5) Dyski twarde zewnętrzne SSD do wymiany i przenoszenia danych - 15 szt.</w:t>
            </w:r>
          </w:p>
          <w:p w:rsidR="00975AE5" w:rsidRPr="000765AC" w:rsidRDefault="00975AE5" w:rsidP="00EA7788">
            <w:pPr>
              <w:spacing w:after="120"/>
              <w:jc w:val="both"/>
            </w:pPr>
            <w:r w:rsidRPr="000765AC">
              <w:t xml:space="preserve">Dysk SSD - zewnętrzny (przenośne), o funkcjonalnościach: Rozpoznawanie odcisków palców, odporność na wstrząsy, autoryzacja hasła, podatny na USB Attached SCSI </w:t>
            </w:r>
            <w:proofErr w:type="spellStart"/>
            <w:r w:rsidRPr="000765AC">
              <w:t>Protocol</w:t>
            </w:r>
            <w:proofErr w:type="spellEnd"/>
            <w:r w:rsidRPr="000765AC">
              <w:t xml:space="preserve"> (UASP), V-NAND Technology, 256-bit AES</w:t>
            </w:r>
          </w:p>
          <w:p w:rsidR="00975AE5" w:rsidRPr="000765AC" w:rsidRDefault="00975AE5" w:rsidP="00EA7788">
            <w:pPr>
              <w:spacing w:after="120"/>
              <w:jc w:val="both"/>
            </w:pPr>
            <w:r w:rsidRPr="000765AC">
              <w:t>Pojemność:</w:t>
            </w:r>
            <w:r w:rsidRPr="000765AC">
              <w:tab/>
              <w:t>min. 1 TB</w:t>
            </w:r>
          </w:p>
          <w:p w:rsidR="00975AE5" w:rsidRPr="000765AC" w:rsidRDefault="00975AE5" w:rsidP="00EA7788">
            <w:pPr>
              <w:spacing w:after="120"/>
              <w:jc w:val="both"/>
            </w:pPr>
            <w:r w:rsidRPr="000765AC">
              <w:t>Kodowanie sprzętu:</w:t>
            </w:r>
            <w:r w:rsidRPr="000765AC">
              <w:tab/>
              <w:t>Tak</w:t>
            </w:r>
          </w:p>
          <w:p w:rsidR="00975AE5" w:rsidRPr="000765AC" w:rsidRDefault="00975AE5" w:rsidP="00EA7788">
            <w:pPr>
              <w:spacing w:after="120"/>
              <w:jc w:val="both"/>
            </w:pPr>
            <w:r w:rsidRPr="000765AC">
              <w:t>Algorytm kodowania:</w:t>
            </w:r>
            <w:r w:rsidRPr="000765AC">
              <w:tab/>
              <w:t>min. 256 bitów AES</w:t>
            </w:r>
          </w:p>
          <w:p w:rsidR="00975AE5" w:rsidRPr="000765AC" w:rsidRDefault="00975AE5" w:rsidP="00EA7788">
            <w:pPr>
              <w:spacing w:after="120"/>
              <w:jc w:val="both"/>
            </w:pPr>
            <w:r w:rsidRPr="000765AC">
              <w:t>Interfejs:</w:t>
            </w:r>
            <w:r w:rsidRPr="000765AC">
              <w:tab/>
              <w:t>USB min. 3.2 Gen 2</w:t>
            </w:r>
          </w:p>
          <w:p w:rsidR="00975AE5" w:rsidRPr="000765AC" w:rsidRDefault="00975AE5" w:rsidP="00EA7788">
            <w:pPr>
              <w:spacing w:after="120"/>
              <w:jc w:val="both"/>
            </w:pPr>
            <w:r w:rsidRPr="000765AC">
              <w:t>Waga:</w:t>
            </w:r>
            <w:r w:rsidRPr="000765AC">
              <w:tab/>
              <w:t>max. 55 g</w:t>
            </w:r>
          </w:p>
          <w:p w:rsidR="00975AE5" w:rsidRPr="000765AC" w:rsidRDefault="00975AE5" w:rsidP="00EA7788">
            <w:pPr>
              <w:spacing w:after="120"/>
              <w:jc w:val="both"/>
            </w:pPr>
            <w:r w:rsidRPr="000765AC">
              <w:t xml:space="preserve"> Wydajność</w:t>
            </w:r>
          </w:p>
          <w:p w:rsidR="00975AE5" w:rsidRPr="000765AC" w:rsidRDefault="00975AE5" w:rsidP="00EA7788">
            <w:pPr>
              <w:spacing w:after="120"/>
              <w:jc w:val="both"/>
            </w:pPr>
            <w:r w:rsidRPr="000765AC">
              <w:t>Szybkość transmisji interfejsu:</w:t>
            </w:r>
            <w:r w:rsidRPr="000765AC">
              <w:tab/>
              <w:t xml:space="preserve">min. 10,0 </w:t>
            </w:r>
            <w:proofErr w:type="spellStart"/>
            <w:r w:rsidRPr="000765AC">
              <w:t>Gb</w:t>
            </w:r>
            <w:proofErr w:type="spellEnd"/>
            <w:r w:rsidRPr="000765AC">
              <w:t>/s</w:t>
            </w:r>
          </w:p>
          <w:p w:rsidR="00975AE5" w:rsidRPr="000765AC" w:rsidRDefault="00975AE5" w:rsidP="00EA7788">
            <w:pPr>
              <w:spacing w:after="120"/>
              <w:jc w:val="both"/>
            </w:pPr>
            <w:r w:rsidRPr="000765AC">
              <w:t>Szybkość maksymalna transmisji danych:</w:t>
            </w:r>
            <w:r w:rsidRPr="000765AC">
              <w:tab/>
              <w:t>min. 1050 MB/s</w:t>
            </w:r>
          </w:p>
          <w:p w:rsidR="00975AE5" w:rsidRPr="000765AC" w:rsidRDefault="00975AE5" w:rsidP="00EA7788">
            <w:pPr>
              <w:spacing w:after="120"/>
              <w:jc w:val="both"/>
            </w:pPr>
            <w:r w:rsidRPr="000765AC">
              <w:t>Interfejsy:</w:t>
            </w:r>
            <w:r w:rsidRPr="000765AC">
              <w:tab/>
              <w:t>min. 1 x USB 3.2 Gen 2 - USB-C 24 pin</w:t>
            </w:r>
          </w:p>
          <w:p w:rsidR="00975AE5" w:rsidRPr="000765AC" w:rsidRDefault="00975AE5" w:rsidP="00EA7788">
            <w:pPr>
              <w:spacing w:after="120"/>
              <w:jc w:val="both"/>
            </w:pPr>
            <w:r w:rsidRPr="000765AC">
              <w:t>Źródło zasilania:</w:t>
            </w:r>
            <w:r w:rsidRPr="000765AC">
              <w:tab/>
              <w:t>Szyna USB</w:t>
            </w:r>
          </w:p>
          <w:p w:rsidR="00975AE5" w:rsidRPr="000765AC" w:rsidRDefault="00975AE5" w:rsidP="00EA7788">
            <w:pPr>
              <w:spacing w:after="120"/>
              <w:jc w:val="both"/>
            </w:pPr>
            <w:r w:rsidRPr="000765AC">
              <w:t>Zgodność z normami:</w:t>
            </w:r>
            <w:r w:rsidRPr="000765AC">
              <w:tab/>
              <w:t>UL, TUV, VCCI, C-</w:t>
            </w:r>
            <w:proofErr w:type="spellStart"/>
            <w:r w:rsidRPr="000765AC">
              <w:t>Tick</w:t>
            </w:r>
            <w:proofErr w:type="spellEnd"/>
            <w:r w:rsidRPr="000765AC">
              <w:t xml:space="preserve">, BSMI, CB, IC, FCC, KC, RoHS2, EAC, UASP (USB Attached SCSI </w:t>
            </w:r>
            <w:proofErr w:type="spellStart"/>
            <w:r w:rsidRPr="000765AC">
              <w:t>Protocol</w:t>
            </w:r>
            <w:proofErr w:type="spellEnd"/>
            <w:r w:rsidRPr="000765AC">
              <w:t>)</w:t>
            </w:r>
          </w:p>
          <w:p w:rsidR="00975AE5" w:rsidRPr="00A21BF3" w:rsidRDefault="00975AE5" w:rsidP="00EA7788">
            <w:pPr>
              <w:spacing w:after="120"/>
              <w:jc w:val="both"/>
              <w:rPr>
                <w:b/>
                <w:u w:val="single"/>
              </w:rPr>
            </w:pPr>
            <w:r w:rsidRPr="00A21BF3">
              <w:rPr>
                <w:b/>
                <w:u w:val="single"/>
              </w:rPr>
              <w:t xml:space="preserve">6) Pendrive dla akwizycji i wymiany danych 30 szt. </w:t>
            </w:r>
          </w:p>
          <w:p w:rsidR="00975AE5" w:rsidRPr="000765AC" w:rsidRDefault="00975AE5" w:rsidP="00EA7788">
            <w:pPr>
              <w:spacing w:after="120"/>
              <w:jc w:val="both"/>
            </w:pPr>
            <w:r w:rsidRPr="000765AC">
              <w:t>Typ produktu:</w:t>
            </w:r>
            <w:r w:rsidRPr="000765AC">
              <w:tab/>
              <w:t>Pendrive USB z metalowym kółkiem  na klucze, zatyczką ochronną, trybem UASP, oświetleniem LED transferu danych, gwarancją producenta min. 60 miesięcy w serwisie</w:t>
            </w:r>
          </w:p>
          <w:p w:rsidR="00975AE5" w:rsidRPr="000765AC" w:rsidRDefault="00975AE5" w:rsidP="00EA7788">
            <w:pPr>
              <w:spacing w:after="120"/>
              <w:jc w:val="both"/>
            </w:pPr>
            <w:r w:rsidRPr="000765AC">
              <w:t xml:space="preserve"> Pojemność pamięci masowej:</w:t>
            </w:r>
            <w:r w:rsidRPr="000765AC">
              <w:tab/>
              <w:t>min. 128 GB</w:t>
            </w:r>
          </w:p>
          <w:p w:rsidR="00975AE5" w:rsidRPr="000765AC" w:rsidRDefault="00975AE5" w:rsidP="00EA7788">
            <w:pPr>
              <w:spacing w:after="120"/>
              <w:jc w:val="both"/>
            </w:pPr>
            <w:r w:rsidRPr="000765AC">
              <w:t>Prędkość odczytu:</w:t>
            </w:r>
            <w:r w:rsidRPr="000765AC">
              <w:tab/>
              <w:t>Do min.  420 MB/s</w:t>
            </w:r>
          </w:p>
          <w:p w:rsidR="00975AE5" w:rsidRPr="000765AC" w:rsidRDefault="00975AE5" w:rsidP="00EA7788">
            <w:pPr>
              <w:spacing w:after="120"/>
              <w:jc w:val="both"/>
            </w:pPr>
            <w:r w:rsidRPr="000765AC">
              <w:t>Typ interfejsu:</w:t>
            </w:r>
            <w:r w:rsidRPr="000765AC">
              <w:tab/>
              <w:t>USB 3.2 Gen 1</w:t>
            </w:r>
          </w:p>
          <w:p w:rsidR="00975AE5" w:rsidRPr="000765AC" w:rsidRDefault="00975AE5" w:rsidP="00EA7788">
            <w:pPr>
              <w:spacing w:after="120"/>
              <w:jc w:val="both"/>
            </w:pPr>
            <w:r w:rsidRPr="000765AC">
              <w:t>Wymiary maksymalne:</w:t>
            </w:r>
          </w:p>
          <w:p w:rsidR="00975AE5" w:rsidRPr="000765AC" w:rsidRDefault="00975AE5" w:rsidP="00EA7788">
            <w:pPr>
              <w:spacing w:after="120"/>
              <w:jc w:val="both"/>
            </w:pPr>
            <w:r w:rsidRPr="000765AC">
              <w:t>Szerokość:</w:t>
            </w:r>
            <w:r w:rsidRPr="000765AC">
              <w:tab/>
              <w:t>22 mm</w:t>
            </w:r>
          </w:p>
          <w:p w:rsidR="00975AE5" w:rsidRPr="000765AC" w:rsidRDefault="00975AE5" w:rsidP="00EA7788">
            <w:pPr>
              <w:spacing w:after="120"/>
              <w:jc w:val="both"/>
            </w:pPr>
            <w:r w:rsidRPr="000765AC">
              <w:t>Głębokość:</w:t>
            </w:r>
            <w:r w:rsidRPr="000765AC">
              <w:tab/>
              <w:t>60 mm</w:t>
            </w:r>
          </w:p>
          <w:p w:rsidR="00975AE5" w:rsidRDefault="00975AE5" w:rsidP="00EA7788">
            <w:pPr>
              <w:spacing w:after="120"/>
              <w:jc w:val="both"/>
            </w:pPr>
            <w:r w:rsidRPr="000765AC">
              <w:t>Wysokość:</w:t>
            </w:r>
            <w:r w:rsidRPr="000765AC">
              <w:tab/>
              <w:t>9 mm</w:t>
            </w:r>
          </w:p>
          <w:p w:rsidR="00975AE5" w:rsidRDefault="00975AE5" w:rsidP="00EA7788">
            <w:pPr>
              <w:pStyle w:val="ProPublico"/>
              <w:numPr>
                <w:ilvl w:val="1"/>
                <w:numId w:val="0"/>
              </w:numPr>
              <w:tabs>
                <w:tab w:val="num" w:pos="0"/>
              </w:tabs>
              <w:spacing w:after="120" w:line="240" w:lineRule="auto"/>
              <w:jc w:val="both"/>
              <w:rPr>
                <w:rFonts w:ascii="Times New Roman" w:hAnsi="Times New Roman"/>
                <w:sz w:val="24"/>
                <w:szCs w:val="24"/>
              </w:rPr>
            </w:pPr>
            <w:r w:rsidRPr="000765AC">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0817D2" w:rsidRPr="000306B6" w:rsidRDefault="000817D2" w:rsidP="00A21BF3">
      <w:pPr>
        <w:pStyle w:val="Akapitzlist"/>
        <w:numPr>
          <w:ilvl w:val="0"/>
          <w:numId w:val="24"/>
        </w:numPr>
        <w:spacing w:after="120"/>
        <w:jc w:val="both"/>
        <w:rPr>
          <w:rFonts w:ascii="Times New Roman" w:hAnsi="Times New Roman"/>
          <w:sz w:val="24"/>
          <w:szCs w:val="24"/>
        </w:rPr>
      </w:pPr>
      <w:r w:rsidRPr="000306B6">
        <w:rPr>
          <w:rFonts w:ascii="Times New Roman" w:hAnsi="Times New Roman"/>
          <w:sz w:val="24"/>
          <w:szCs w:val="24"/>
        </w:rPr>
        <w:lastRenderedPageBreak/>
        <w:t>Części nie mogą być dzielone przez wykonawców, oferty nie zawierające pełnego zakresu przedmiotu zamówienia określonego w zadaniu częściowym zostaną odrzucone.</w:t>
      </w:r>
    </w:p>
    <w:p w:rsidR="000817D2" w:rsidRPr="000306B6" w:rsidRDefault="000817D2" w:rsidP="000817D2">
      <w:pPr>
        <w:numPr>
          <w:ilvl w:val="0"/>
          <w:numId w:val="24"/>
        </w:numPr>
        <w:jc w:val="both"/>
      </w:pPr>
      <w:r w:rsidRPr="000306B6">
        <w:rPr>
          <w:iCs/>
          <w:color w:val="000000"/>
        </w:rPr>
        <w:lastRenderedPageBreak/>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817D2" w:rsidRDefault="000817D2" w:rsidP="00211900">
      <w:pPr>
        <w:spacing w:after="120"/>
        <w:jc w:val="both"/>
      </w:pPr>
    </w:p>
    <w:p w:rsidR="00607971" w:rsidRDefault="00607971" w:rsidP="00607971">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0765AC" w:rsidRPr="003209A8" w:rsidTr="00EA7788">
        <w:tc>
          <w:tcPr>
            <w:tcW w:w="8640" w:type="dxa"/>
          </w:tcPr>
          <w:p w:rsidR="000765AC" w:rsidRPr="003209A8" w:rsidRDefault="000765AC" w:rsidP="00A21BF3">
            <w:pPr>
              <w:pStyle w:val="Tekstpodstawowy"/>
            </w:pPr>
            <w:r w:rsidRPr="000765AC">
              <w:rPr>
                <w:b/>
              </w:rPr>
              <w:t>14 dni od daty udzielenia zamówienia</w:t>
            </w:r>
            <w:r w:rsidRPr="003209A8">
              <w:t xml:space="preserve"> </w:t>
            </w:r>
          </w:p>
        </w:tc>
        <w:tc>
          <w:tcPr>
            <w:tcW w:w="8640" w:type="dxa"/>
          </w:tcPr>
          <w:p w:rsidR="000765AC" w:rsidRPr="003209A8" w:rsidRDefault="000765AC" w:rsidP="00EA7788">
            <w:pPr>
              <w:pStyle w:val="Tekstpodstawowy"/>
            </w:pPr>
          </w:p>
        </w:tc>
      </w:tr>
    </w:tbl>
    <w:p w:rsidR="00607971" w:rsidRDefault="00607971" w:rsidP="00211900">
      <w:pPr>
        <w:spacing w:after="120"/>
        <w:jc w:val="both"/>
      </w:pPr>
    </w:p>
    <w:tbl>
      <w:tblPr>
        <w:tblW w:w="9504" w:type="dxa"/>
        <w:tblLook w:val="01E0" w:firstRow="1" w:lastRow="1" w:firstColumn="1" w:lastColumn="1" w:noHBand="0" w:noVBand="0"/>
      </w:tblPr>
      <w:tblGrid>
        <w:gridCol w:w="648"/>
        <w:gridCol w:w="8640"/>
        <w:gridCol w:w="216"/>
      </w:tblGrid>
      <w:tr w:rsidR="00211900" w:rsidTr="000817D2">
        <w:trPr>
          <w:gridBefore w:val="1"/>
          <w:gridAfter w:val="1"/>
          <w:wBefore w:w="648" w:type="dxa"/>
          <w:wAfter w:w="216" w:type="dxa"/>
        </w:trPr>
        <w:tc>
          <w:tcPr>
            <w:tcW w:w="8640" w:type="dxa"/>
            <w:hideMark/>
          </w:tcPr>
          <w:p w:rsidR="00211900" w:rsidRPr="001C44C9" w:rsidRDefault="00211900" w:rsidP="003F4C0E">
            <w:pPr>
              <w:pStyle w:val="Tekstpodstawowy"/>
              <w:rPr>
                <w:lang w:val="pl-PL" w:eastAsia="pl-PL"/>
              </w:rPr>
            </w:pP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3"/>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0817D2" w:rsidRPr="000306B6" w:rsidRDefault="000817D2" w:rsidP="000817D2">
            <w:pPr>
              <w:spacing w:before="120"/>
              <w:rPr>
                <w:b/>
                <w:bCs/>
                <w:color w:val="000000"/>
              </w:rPr>
            </w:pPr>
            <w:r w:rsidRPr="000306B6">
              <w:rPr>
                <w:b/>
                <w:bCs/>
                <w:color w:val="000000"/>
              </w:rPr>
              <w:t>IV. OPIS SPOSOBU PRZYGOTOWANIA OFERTY</w:t>
            </w:r>
          </w:p>
          <w:p w:rsidR="000817D2" w:rsidRPr="000306B6" w:rsidRDefault="000817D2" w:rsidP="000817D2">
            <w:pPr>
              <w:numPr>
                <w:ilvl w:val="0"/>
                <w:numId w:val="25"/>
              </w:numPr>
              <w:ind w:left="641" w:hanging="357"/>
              <w:jc w:val="both"/>
              <w:outlineLvl w:val="1"/>
              <w:rPr>
                <w:b/>
                <w:bCs/>
                <w:iCs/>
                <w:u w:val="single"/>
                <w:lang w:val="x-none" w:eastAsia="x-none"/>
              </w:rPr>
            </w:pPr>
            <w:r w:rsidRPr="000306B6">
              <w:rPr>
                <w:b/>
                <w:bCs/>
                <w:iCs/>
                <w:u w:val="single"/>
                <w:lang w:val="x-none" w:eastAsia="x-none"/>
              </w:rPr>
              <w:t>Oferta musi być sporządzona według wzoru formularza oferty stanowiącego załącznik nr 1 do niniejszego ogłoszenia.</w:t>
            </w:r>
          </w:p>
          <w:p w:rsidR="000817D2" w:rsidRPr="00375FFF" w:rsidRDefault="000817D2" w:rsidP="000817D2">
            <w:pPr>
              <w:numPr>
                <w:ilvl w:val="0"/>
                <w:numId w:val="25"/>
              </w:numPr>
              <w:ind w:left="641" w:hanging="357"/>
              <w:jc w:val="both"/>
              <w:rPr>
                <w:bCs/>
                <w:color w:val="000000"/>
                <w:u w:val="single"/>
              </w:rPr>
            </w:pPr>
            <w:r w:rsidRPr="000306B6">
              <w:rPr>
                <w:bCs/>
                <w:color w:val="000000"/>
                <w:u w:val="single"/>
              </w:rPr>
              <w:t xml:space="preserve">Do oferty należy dołączyć szczegółową wycenę zawierającą ceny jednostkowe brutto za poszczególne pozycje składających się na całość zadania wraz z informacjami o nazwie producenta oraz numerami katalogowymi oferowanych </w:t>
            </w:r>
            <w:r w:rsidRPr="00375FFF">
              <w:rPr>
                <w:bCs/>
                <w:color w:val="000000"/>
                <w:u w:val="single"/>
              </w:rPr>
              <w:t xml:space="preserve">produktów. </w:t>
            </w:r>
          </w:p>
          <w:p w:rsidR="000817D2" w:rsidRPr="00375FFF" w:rsidRDefault="000817D2" w:rsidP="000817D2">
            <w:pPr>
              <w:numPr>
                <w:ilvl w:val="0"/>
                <w:numId w:val="25"/>
              </w:numPr>
              <w:ind w:left="641" w:hanging="357"/>
              <w:jc w:val="both"/>
              <w:rPr>
                <w:b/>
                <w:sz w:val="28"/>
                <w:szCs w:val="28"/>
                <w:u w:val="single"/>
              </w:rPr>
            </w:pPr>
            <w:r w:rsidRPr="00375FFF">
              <w:rPr>
                <w:bCs/>
                <w:color w:val="000000"/>
              </w:rPr>
              <w:t xml:space="preserve">Do oferty należy dołączyć </w:t>
            </w:r>
            <w:r w:rsidRPr="00375FFF">
              <w:t xml:space="preserve">Broszury produktowe/katalogi produktowy/specyfikacja techniczna oferowanego urządzenia </w:t>
            </w:r>
            <w:r w:rsidRPr="00375FFF">
              <w:rPr>
                <w:b/>
                <w:u w:val="single"/>
              </w:rPr>
              <w:t xml:space="preserve">potwierdzająca spełnienie wszystkich parametrów </w:t>
            </w:r>
            <w:r w:rsidRPr="00375FFF">
              <w:t xml:space="preserve">określonych przez zamawiającego w ogłoszeniu o udzielanym zamówieniu.- </w:t>
            </w:r>
            <w:r w:rsidRPr="00375FFF">
              <w:rPr>
                <w:b/>
                <w:u w:val="single"/>
              </w:rPr>
              <w:t xml:space="preserve">Dokumenty należy dołączyć w języku polskim </w:t>
            </w:r>
          </w:p>
          <w:p w:rsidR="000817D2" w:rsidRPr="000306B6" w:rsidRDefault="000817D2" w:rsidP="000817D2">
            <w:pPr>
              <w:numPr>
                <w:ilvl w:val="0"/>
                <w:numId w:val="25"/>
              </w:numPr>
              <w:ind w:left="641" w:hanging="357"/>
              <w:jc w:val="both"/>
              <w:rPr>
                <w:sz w:val="28"/>
                <w:szCs w:val="28"/>
              </w:rPr>
            </w:pPr>
            <w:r w:rsidRPr="000306B6">
              <w:rPr>
                <w:bCs/>
                <w:color w:val="000000"/>
              </w:rPr>
              <w:t xml:space="preserve">Do oferty należy dołączyć </w:t>
            </w:r>
            <w:r w:rsidRPr="000306B6">
              <w:rPr>
                <w:color w:val="000000"/>
              </w:rPr>
              <w:t>aktualny odpis z właściwego rejestru lub z centralnej ewidencji i informacji o działalności gospodarczej.</w:t>
            </w:r>
            <w:r w:rsidRPr="000306B6">
              <w:t xml:space="preserve"> </w:t>
            </w:r>
          </w:p>
          <w:p w:rsidR="000817D2" w:rsidRPr="000306B6" w:rsidRDefault="000817D2" w:rsidP="000817D2">
            <w:pPr>
              <w:jc w:val="both"/>
              <w:outlineLvl w:val="1"/>
              <w:rPr>
                <w:b/>
                <w:bCs/>
                <w:iCs/>
                <w:u w:val="single"/>
              </w:rPr>
            </w:pPr>
            <w:r w:rsidRPr="000306B6">
              <w:rPr>
                <w:b/>
                <w:color w:val="000000"/>
                <w:u w:val="single"/>
              </w:rPr>
              <w:t xml:space="preserve">W przypadku podmiotów zagranicznych: </w:t>
            </w:r>
          </w:p>
          <w:p w:rsidR="000817D2" w:rsidRPr="000306B6" w:rsidRDefault="000817D2" w:rsidP="000817D2">
            <w:pPr>
              <w:jc w:val="both"/>
              <w:rPr>
                <w:b/>
                <w:color w:val="000000"/>
              </w:rPr>
            </w:pPr>
            <w:r w:rsidRPr="000306B6">
              <w:rPr>
                <w:b/>
                <w:color w:val="000000"/>
              </w:rPr>
              <w:t>Do oferty należy dołączyć dokument potwierdzający, że nie otwarto jego likwidacji ani nie ogłoszono upadłości</w:t>
            </w:r>
          </w:p>
          <w:p w:rsidR="000817D2" w:rsidRPr="000306B6" w:rsidRDefault="000817D2" w:rsidP="000817D2">
            <w:pPr>
              <w:jc w:val="both"/>
              <w:rPr>
                <w:b/>
                <w:color w:val="000000"/>
              </w:rPr>
            </w:pPr>
            <w:r w:rsidRPr="000306B6">
              <w:rPr>
                <w:b/>
                <w:color w:val="000000"/>
              </w:rPr>
              <w:t>Dodatkowe informację:</w:t>
            </w:r>
          </w:p>
          <w:p w:rsidR="000817D2" w:rsidRPr="000306B6" w:rsidRDefault="000817D2" w:rsidP="000817D2">
            <w:pPr>
              <w:keepNext/>
              <w:numPr>
                <w:ilvl w:val="0"/>
                <w:numId w:val="25"/>
              </w:numPr>
              <w:jc w:val="both"/>
              <w:outlineLvl w:val="1"/>
              <w:rPr>
                <w:bCs/>
                <w:iCs/>
                <w:lang w:val="x-none" w:eastAsia="x-none"/>
              </w:rPr>
            </w:pPr>
            <w:r w:rsidRPr="000306B6">
              <w:rPr>
                <w:bCs/>
                <w:iCs/>
                <w:lang w:val="x-none" w:eastAsia="x-none"/>
              </w:rPr>
              <w:t>W</w:t>
            </w:r>
            <w:r w:rsidRPr="000306B6">
              <w:rPr>
                <w:bCs/>
                <w:iCs/>
                <w:lang w:eastAsia="x-none"/>
              </w:rPr>
              <w:t>y</w:t>
            </w:r>
            <w:r w:rsidRPr="000306B6">
              <w:rPr>
                <w:bCs/>
                <w:iCs/>
                <w:lang w:val="x-none" w:eastAsia="x-none"/>
              </w:rPr>
              <w:t>konawca może złożyć tylko jedną ofertę.</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6. Tre</w:t>
            </w:r>
            <w:r w:rsidRPr="000306B6">
              <w:rPr>
                <w:rFonts w:eastAsia="TimesNewRoman"/>
                <w:bCs/>
                <w:iCs/>
                <w:lang w:val="x-none" w:eastAsia="x-none"/>
              </w:rPr>
              <w:t xml:space="preserve">ść </w:t>
            </w:r>
            <w:r w:rsidRPr="000306B6">
              <w:rPr>
                <w:bCs/>
                <w:iCs/>
                <w:lang w:val="x-none" w:eastAsia="x-none"/>
              </w:rPr>
              <w:t>oferty musi odpowiada</w:t>
            </w:r>
            <w:r w:rsidRPr="000306B6">
              <w:rPr>
                <w:rFonts w:eastAsia="TimesNewRoman"/>
                <w:bCs/>
                <w:iCs/>
                <w:lang w:val="x-none" w:eastAsia="x-none"/>
              </w:rPr>
              <w:t xml:space="preserve">ć </w:t>
            </w:r>
            <w:r w:rsidRPr="000306B6">
              <w:rPr>
                <w:bCs/>
                <w:iCs/>
                <w:lang w:val="x-none" w:eastAsia="x-none"/>
              </w:rPr>
              <w:t>tre</w:t>
            </w:r>
            <w:r w:rsidRPr="000306B6">
              <w:rPr>
                <w:rFonts w:eastAsia="TimesNewRoman"/>
                <w:bCs/>
                <w:iCs/>
                <w:lang w:val="x-none" w:eastAsia="x-none"/>
              </w:rPr>
              <w:t>ś</w:t>
            </w:r>
            <w:r w:rsidRPr="000306B6">
              <w:rPr>
                <w:bCs/>
                <w:iCs/>
                <w:lang w:val="x-none" w:eastAsia="x-none"/>
              </w:rPr>
              <w:t xml:space="preserve">ci niniejszego ogłoszenia </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7. Zamawiający nie przewiduje zwrotu kosztów udziału w postępowaniu.</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8. Oferta wraz ze stanowiącymi jej integralną część załącznikami musi być sporządzona przez Wykonawcę ściśle według postanowień niniejszego ogłoszenia</w:t>
            </w:r>
          </w:p>
          <w:p w:rsidR="000817D2" w:rsidRPr="000306B6" w:rsidRDefault="000817D2" w:rsidP="000817D2">
            <w:pPr>
              <w:keepNext/>
              <w:tabs>
                <w:tab w:val="num" w:pos="680"/>
              </w:tabs>
              <w:ind w:left="680" w:hanging="680"/>
              <w:jc w:val="both"/>
              <w:outlineLvl w:val="1"/>
              <w:rPr>
                <w:bCs/>
                <w:iCs/>
                <w:u w:val="single"/>
                <w:lang w:val="x-none" w:eastAsia="x-none"/>
              </w:rPr>
            </w:pPr>
            <w:r w:rsidRPr="000306B6">
              <w:rPr>
                <w:bCs/>
                <w:iCs/>
                <w:lang w:val="x-none" w:eastAsia="x-none"/>
              </w:rPr>
              <w:t xml:space="preserve">9. </w:t>
            </w:r>
            <w:r w:rsidRPr="000306B6">
              <w:rPr>
                <w:bCs/>
                <w:iCs/>
                <w:u w:val="single"/>
                <w:lang w:val="x-none" w:eastAsia="x-none"/>
              </w:rPr>
              <w:t xml:space="preserve">Oferta i </w:t>
            </w:r>
            <w:r w:rsidRPr="000306B6">
              <w:rPr>
                <w:b/>
                <w:bCs/>
                <w:iCs/>
                <w:u w:val="single"/>
                <w:lang w:val="x-none" w:eastAsia="x-none"/>
              </w:rPr>
              <w:t>wszystkie</w:t>
            </w:r>
            <w:r w:rsidRPr="000306B6">
              <w:rPr>
                <w:bCs/>
                <w:iCs/>
                <w:u w:val="single"/>
                <w:lang w:val="x-none" w:eastAsia="x-none"/>
              </w:rPr>
              <w:t xml:space="preserve"> załączniki muszą być sporządzona </w:t>
            </w:r>
            <w:r w:rsidRPr="000306B6">
              <w:rPr>
                <w:b/>
                <w:bCs/>
                <w:iCs/>
                <w:u w:val="single"/>
                <w:lang w:val="x-none" w:eastAsia="x-none"/>
              </w:rPr>
              <w:t>w języku polskim</w:t>
            </w:r>
            <w:r w:rsidRPr="000306B6">
              <w:rPr>
                <w:bCs/>
                <w:iCs/>
                <w:u w:val="single"/>
                <w:lang w:val="x-none" w:eastAsia="x-none"/>
              </w:rPr>
              <w:t>, zrozumiale i czytelnie, napisane komputerowo lub nieścieralnym atramentem.</w:t>
            </w:r>
          </w:p>
          <w:p w:rsidR="000817D2" w:rsidRPr="000306B6" w:rsidRDefault="000817D2" w:rsidP="000817D2">
            <w:pPr>
              <w:jc w:val="both"/>
            </w:pPr>
            <w:r w:rsidRPr="000306B6">
              <w:t xml:space="preserve">10. Oferta musi być podpisana przez osobę uprawnioną do reprezentowania Wykonawcy, 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jc w:val="both"/>
              <w:rPr>
                <w:b/>
                <w:u w:val="single"/>
              </w:rPr>
            </w:pPr>
            <w:r w:rsidRPr="000306B6">
              <w:rPr>
                <w:b/>
                <w:u w:val="single"/>
              </w:rPr>
              <w:lastRenderedPageBreak/>
              <w:t xml:space="preserve">Zamawiający dopuszcza podpisanie oferty elektronicznie przez osobę uprawnioną do reprezentowania Wykonawcy </w:t>
            </w:r>
            <w:r w:rsidRPr="000306B6">
              <w:t xml:space="preserve">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rPr>
                <w:color w:val="000000"/>
                <w:u w:val="single"/>
              </w:rPr>
            </w:pPr>
            <w:r w:rsidRPr="000306B6">
              <w:rPr>
                <w:color w:val="000000"/>
                <w:u w:val="single"/>
              </w:rPr>
              <w:t>Oferta powinna zawierać:</w:t>
            </w:r>
          </w:p>
          <w:p w:rsidR="000817D2" w:rsidRPr="000306B6" w:rsidRDefault="000817D2" w:rsidP="000817D2">
            <w:pPr>
              <w:numPr>
                <w:ilvl w:val="0"/>
                <w:numId w:val="26"/>
              </w:numPr>
              <w:rPr>
                <w:color w:val="000000"/>
              </w:rPr>
            </w:pPr>
            <w:r w:rsidRPr="000306B6">
              <w:rPr>
                <w:color w:val="000000"/>
              </w:rPr>
              <w:t>Dane teleadresowe firmy - numer NIP , REGON firmy itp.</w:t>
            </w:r>
          </w:p>
          <w:p w:rsidR="000817D2" w:rsidRPr="000306B6" w:rsidRDefault="000817D2" w:rsidP="000817D2">
            <w:pPr>
              <w:numPr>
                <w:ilvl w:val="0"/>
                <w:numId w:val="26"/>
              </w:numPr>
              <w:rPr>
                <w:color w:val="000000"/>
              </w:rPr>
            </w:pPr>
            <w:r w:rsidRPr="000306B6">
              <w:rPr>
                <w:color w:val="000000"/>
              </w:rPr>
              <w:t>Wskazanie osoby do kontaktu w sprawie oferty (numer telefonu i e-mail).</w:t>
            </w:r>
          </w:p>
          <w:p w:rsidR="000817D2" w:rsidRPr="000306B6" w:rsidRDefault="000817D2" w:rsidP="000817D2">
            <w:pPr>
              <w:numPr>
                <w:ilvl w:val="0"/>
                <w:numId w:val="26"/>
              </w:numPr>
              <w:rPr>
                <w:color w:val="000000"/>
              </w:rPr>
            </w:pPr>
            <w:r w:rsidRPr="000306B6">
              <w:rPr>
                <w:color w:val="000000"/>
              </w:rPr>
              <w:t>Proponowaną cenę brutto za realizację zamówienia.</w:t>
            </w:r>
          </w:p>
          <w:p w:rsidR="00211900" w:rsidRDefault="000817D2" w:rsidP="000817D2">
            <w:pPr>
              <w:spacing w:before="120"/>
            </w:pPr>
            <w:r w:rsidRPr="000306B6">
              <w:t>Oferta złożona przez wykonawcę nie jest ofertą w rozumieniu KC.</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375FFF">
            <w:pPr>
              <w:pStyle w:val="p14"/>
              <w:spacing w:before="120" w:beforeAutospacing="0" w:after="0" w:afterAutospacing="0"/>
              <w:rPr>
                <w:b/>
                <w:bCs/>
                <w:color w:val="000000"/>
              </w:rPr>
            </w:pPr>
            <w:r>
              <w:rPr>
                <w:color w:val="000000"/>
              </w:rPr>
              <w:t xml:space="preserve">Wynagrodzenie zostanie wypłacone w terminie do </w:t>
            </w:r>
            <w:r w:rsidR="00375FFF">
              <w:rPr>
                <w:color w:val="000000"/>
              </w:rPr>
              <w:t>14</w:t>
            </w:r>
            <w:r>
              <w:rPr>
                <w:color w:val="000000"/>
              </w:rPr>
              <w:t xml:space="preserve"> dni od daty otrzymania przez zamawiającego poprawnie wystawionej przez Wykonawcę faktury VAT.</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C45620" w:rsidRPr="00C45620" w:rsidRDefault="00C45620" w:rsidP="00C45620">
            <w:pPr>
              <w:rPr>
                <w:b/>
                <w:bCs/>
                <w:color w:val="000000"/>
              </w:rPr>
            </w:pPr>
            <w:r w:rsidRPr="00C45620">
              <w:rPr>
                <w:b/>
                <w:bCs/>
                <w:color w:val="000000"/>
              </w:rPr>
              <w:t>VII. MIEJSCE I TERMIN SKŁADANIA OFERT</w:t>
            </w:r>
          </w:p>
          <w:p w:rsidR="00C45620" w:rsidRPr="00C45620" w:rsidRDefault="00C45620" w:rsidP="00C45620">
            <w:pPr>
              <w:jc w:val="both"/>
              <w:rPr>
                <w:lang w:val="en-US"/>
              </w:rPr>
            </w:pPr>
            <w:r w:rsidRPr="00C45620">
              <w:rPr>
                <w:color w:val="000000"/>
              </w:rPr>
              <w:t>Ofertę należy przygotować w wersji elektronicznej i przesłać odpowiednio drogą e-mailową na adres</w:t>
            </w:r>
            <w:r w:rsidRPr="00C45620">
              <w:rPr>
                <w:lang w:val="en-US"/>
              </w:rPr>
              <w:t xml:space="preserve"> </w:t>
            </w:r>
            <w:hyperlink r:id="rId9" w:history="1">
              <w:r w:rsidRPr="00C45620">
                <w:rPr>
                  <w:color w:val="0000FF"/>
                  <w:u w:val="single"/>
                  <w:lang w:val="en-US"/>
                </w:rPr>
                <w:t>kaczork@prz.edu.pl</w:t>
              </w:r>
            </w:hyperlink>
            <w:r w:rsidRPr="00C45620">
              <w:rPr>
                <w:lang w:val="en-US"/>
              </w:rPr>
              <w:t xml:space="preserve"> </w:t>
            </w:r>
          </w:p>
          <w:p w:rsidR="00C45620" w:rsidRPr="00C45620" w:rsidRDefault="00C45620" w:rsidP="00C45620">
            <w:pPr>
              <w:jc w:val="both"/>
              <w:rPr>
                <w:b/>
                <w:u w:val="single"/>
                <w:lang w:val="en-US"/>
              </w:rPr>
            </w:pPr>
            <w:r w:rsidRPr="00C45620">
              <w:rPr>
                <w:b/>
                <w:u w:val="single"/>
                <w:lang w:val="en-US"/>
              </w:rPr>
              <w:t xml:space="preserve">W </w:t>
            </w:r>
            <w:proofErr w:type="spellStart"/>
            <w:r w:rsidRPr="00C45620">
              <w:rPr>
                <w:b/>
                <w:u w:val="single"/>
                <w:lang w:val="en-US"/>
              </w:rPr>
              <w:t>tytule</w:t>
            </w:r>
            <w:proofErr w:type="spellEnd"/>
            <w:r w:rsidRPr="00C45620">
              <w:rPr>
                <w:b/>
                <w:u w:val="single"/>
                <w:lang w:val="en-US"/>
              </w:rPr>
              <w:t xml:space="preserve"> </w:t>
            </w:r>
            <w:proofErr w:type="spellStart"/>
            <w:r w:rsidRPr="00C45620">
              <w:rPr>
                <w:b/>
                <w:u w:val="single"/>
                <w:lang w:val="en-US"/>
              </w:rPr>
              <w:t>wiadomości</w:t>
            </w:r>
            <w:proofErr w:type="spellEnd"/>
            <w:r w:rsidRPr="00C45620">
              <w:rPr>
                <w:b/>
                <w:u w:val="single"/>
                <w:lang w:val="en-US"/>
              </w:rPr>
              <w:t xml:space="preserve"> </w:t>
            </w:r>
            <w:proofErr w:type="spellStart"/>
            <w:r w:rsidRPr="00C45620">
              <w:rPr>
                <w:b/>
                <w:u w:val="single"/>
                <w:lang w:val="en-US"/>
              </w:rPr>
              <w:t>należy</w:t>
            </w:r>
            <w:proofErr w:type="spellEnd"/>
            <w:r w:rsidRPr="00C45620">
              <w:rPr>
                <w:b/>
                <w:u w:val="single"/>
                <w:lang w:val="en-US"/>
              </w:rPr>
              <w:t xml:space="preserve"> </w:t>
            </w:r>
            <w:proofErr w:type="spellStart"/>
            <w:r w:rsidRPr="00C45620">
              <w:rPr>
                <w:b/>
                <w:u w:val="single"/>
                <w:lang w:val="en-US"/>
              </w:rPr>
              <w:t>podać</w:t>
            </w:r>
            <w:proofErr w:type="spellEnd"/>
            <w:r w:rsidRPr="00C45620">
              <w:rPr>
                <w:b/>
                <w:u w:val="single"/>
                <w:lang w:val="en-US"/>
              </w:rPr>
              <w:t xml:space="preserve"> </w:t>
            </w:r>
            <w:proofErr w:type="spellStart"/>
            <w:r w:rsidRPr="00C45620">
              <w:rPr>
                <w:b/>
                <w:u w:val="single"/>
                <w:lang w:val="en-US"/>
              </w:rPr>
              <w:t>numer</w:t>
            </w:r>
            <w:proofErr w:type="spellEnd"/>
            <w:r w:rsidRPr="00C45620">
              <w:rPr>
                <w:b/>
                <w:u w:val="single"/>
                <w:lang w:val="en-US"/>
              </w:rPr>
              <w:t xml:space="preserve"> </w:t>
            </w:r>
            <w:proofErr w:type="spellStart"/>
            <w:r w:rsidRPr="00C45620">
              <w:rPr>
                <w:b/>
                <w:u w:val="single"/>
                <w:lang w:val="en-US"/>
              </w:rPr>
              <w:t>postępowania</w:t>
            </w:r>
            <w:proofErr w:type="spellEnd"/>
            <w:r w:rsidRPr="00C45620">
              <w:rPr>
                <w:b/>
                <w:u w:val="single"/>
                <w:lang w:val="en-US"/>
              </w:rPr>
              <w:t xml:space="preserve"> -</w:t>
            </w:r>
            <w:r w:rsidRPr="00C45620">
              <w:rPr>
                <w:b/>
              </w:rPr>
              <w:t xml:space="preserve"> NA/O/19</w:t>
            </w:r>
            <w:r>
              <w:rPr>
                <w:b/>
              </w:rPr>
              <w:t>8</w:t>
            </w:r>
            <w:r w:rsidRPr="00C45620">
              <w:rPr>
                <w:b/>
              </w:rPr>
              <w:t>/2022</w:t>
            </w:r>
            <w:r w:rsidRPr="00C45620">
              <w:t>”</w:t>
            </w:r>
          </w:p>
          <w:p w:rsidR="00C45620" w:rsidRPr="00C45620" w:rsidRDefault="00C45620" w:rsidP="00C45620">
            <w:pPr>
              <w:jc w:val="both"/>
            </w:pPr>
            <w:r w:rsidRPr="00C45620">
              <w:rPr>
                <w:color w:val="000000"/>
              </w:rPr>
              <w:t xml:space="preserve"> Otrzymanie oferty zostanie potwierdzone niezwłocznie w e- mailu zwrotnym.</w:t>
            </w:r>
          </w:p>
          <w:p w:rsidR="00C45620" w:rsidRPr="00C45620" w:rsidRDefault="00C45620" w:rsidP="00C45620">
            <w:pPr>
              <w:jc w:val="both"/>
              <w:rPr>
                <w:sz w:val="16"/>
                <w:szCs w:val="16"/>
              </w:rPr>
            </w:pPr>
          </w:p>
          <w:p w:rsidR="00C45620" w:rsidRPr="00C45620" w:rsidRDefault="00C45620" w:rsidP="00C45620">
            <w:pPr>
              <w:jc w:val="both"/>
              <w:rPr>
                <w:i/>
                <w:color w:val="000000"/>
              </w:rPr>
            </w:pPr>
            <w:r w:rsidRPr="00C45620">
              <w:rPr>
                <w:i/>
                <w:color w:val="000000"/>
              </w:rPr>
              <w:t xml:space="preserve">W przypadku braku ww. danych w tytule wiadomości, zamawiający nie ponosi </w:t>
            </w:r>
            <w:r w:rsidRPr="00C45620">
              <w:rPr>
                <w:i/>
                <w:color w:val="000000"/>
                <w:spacing w:val="-6"/>
              </w:rPr>
              <w:t>odpowiedzialności za zdarzenia mogące wyniknąć z powodu tego braku, np. przypadkowe otwarcie oferty przed wyznaczonym terminem otwarcia lub nieotwarcie w trakcie sesji otwarcia ofert.</w:t>
            </w:r>
          </w:p>
          <w:p w:rsidR="00C45620" w:rsidRPr="00C45620" w:rsidRDefault="00C45620" w:rsidP="00C45620">
            <w:pPr>
              <w:jc w:val="both"/>
              <w:rPr>
                <w:i/>
                <w:color w:val="000000"/>
              </w:rPr>
            </w:pPr>
            <w:r w:rsidRPr="00C45620">
              <w:rPr>
                <w:i/>
                <w:color w:val="000000"/>
              </w:rPr>
              <w:t>Oferty złożone po terminie zostaną odrzucone.</w:t>
            </w:r>
          </w:p>
          <w:p w:rsidR="00C45620" w:rsidRPr="00C45620" w:rsidRDefault="00C45620" w:rsidP="00C45620">
            <w:pPr>
              <w:jc w:val="both"/>
              <w:rPr>
                <w:i/>
                <w:color w:val="000000"/>
                <w:sz w:val="16"/>
                <w:szCs w:val="16"/>
              </w:rPr>
            </w:pPr>
          </w:p>
          <w:p w:rsidR="00C45620" w:rsidRPr="00C45620" w:rsidRDefault="00C45620" w:rsidP="00C45620">
            <w:pPr>
              <w:jc w:val="both"/>
            </w:pPr>
            <w:r w:rsidRPr="00C45620">
              <w:rPr>
                <w:b/>
              </w:rPr>
              <w:t xml:space="preserve">Miejsce i termin składania ofert: </w:t>
            </w:r>
            <w:r w:rsidRPr="00C45620">
              <w:t xml:space="preserve">oferty należy </w:t>
            </w:r>
            <w:r w:rsidRPr="00C45620">
              <w:rPr>
                <w:color w:val="000000"/>
              </w:rPr>
              <w:t>odpowiednio drogą </w:t>
            </w:r>
            <w:r w:rsidRPr="00C45620">
              <w:rPr>
                <w:color w:val="000000"/>
              </w:rPr>
              <w:br/>
              <w:t xml:space="preserve">e-mailową na adres </w:t>
            </w:r>
            <w:hyperlink r:id="rId10" w:history="1">
              <w:r w:rsidRPr="00C45620">
                <w:rPr>
                  <w:color w:val="0000FF"/>
                  <w:u w:val="single"/>
                  <w:lang w:val="en-US"/>
                </w:rPr>
                <w:t>kaczork@prz.edu.pl</w:t>
              </w:r>
            </w:hyperlink>
            <w:r w:rsidRPr="00C45620">
              <w:rPr>
                <w:lang w:val="en-US"/>
              </w:rPr>
              <w:t xml:space="preserve">  </w:t>
            </w:r>
            <w:r w:rsidRPr="00C45620">
              <w:t>do dnia  2022-0</w:t>
            </w:r>
            <w:r w:rsidR="00E11411">
              <w:t>8</w:t>
            </w:r>
            <w:r w:rsidRPr="00C45620">
              <w:t>-</w:t>
            </w:r>
            <w:r w:rsidR="00E11411">
              <w:t>04</w:t>
            </w:r>
            <w:r w:rsidRPr="00C45620">
              <w:t xml:space="preserve"> do godz. 10:00</w:t>
            </w:r>
          </w:p>
          <w:p w:rsidR="00C45620" w:rsidRPr="00C45620" w:rsidRDefault="00C45620" w:rsidP="00C45620">
            <w:pPr>
              <w:jc w:val="both"/>
            </w:pPr>
            <w:r w:rsidRPr="00C45620">
              <w:t>Otwarcie ofert nastąpi w dniu: 2022-0</w:t>
            </w:r>
            <w:r w:rsidR="00E11411">
              <w:t>8</w:t>
            </w:r>
            <w:r w:rsidRPr="00C45620">
              <w:t>-</w:t>
            </w:r>
            <w:r w:rsidR="00E11411">
              <w:t>04</w:t>
            </w:r>
            <w:r w:rsidRPr="00C45620">
              <w:t xml:space="preserve"> do godz. 10:15</w:t>
            </w:r>
          </w:p>
          <w:p w:rsidR="00EB415D" w:rsidRDefault="00C45620" w:rsidP="00C45620">
            <w:pPr>
              <w:pStyle w:val="Nagwek2"/>
              <w:rPr>
                <w:rFonts w:ascii="Times New Roman" w:hAnsi="Times New Roman"/>
                <w:b w:val="0"/>
                <w:i w:val="0"/>
                <w:sz w:val="24"/>
                <w:szCs w:val="24"/>
                <w:lang w:val="pl-PL" w:eastAsia="pl-PL"/>
              </w:rPr>
            </w:pPr>
            <w:r w:rsidRPr="00C45620">
              <w:rPr>
                <w:rFonts w:ascii="Times New Roman" w:hAnsi="Times New Roman"/>
                <w:bCs w:val="0"/>
                <w:i w:val="0"/>
                <w:iCs w:val="0"/>
                <w:sz w:val="24"/>
                <w:szCs w:val="24"/>
                <w:lang w:val="pl-PL" w:eastAsia="pl-PL"/>
              </w:rPr>
              <w:t>Termin związania ofertą: 30 dni</w:t>
            </w:r>
          </w:p>
          <w:p w:rsidR="00C45620" w:rsidRPr="00C45620" w:rsidRDefault="00C45620" w:rsidP="00C45620"/>
        </w:tc>
      </w:tr>
      <w:tr w:rsidR="00654219"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654219" w:rsidRPr="000306B6" w:rsidRDefault="00654219" w:rsidP="00654219">
            <w:pPr>
              <w:jc w:val="both"/>
              <w:rPr>
                <w:b/>
                <w:bCs/>
                <w:color w:val="000000"/>
              </w:rPr>
            </w:pPr>
            <w:r w:rsidRPr="000306B6">
              <w:rPr>
                <w:b/>
                <w:bCs/>
                <w:color w:val="000000"/>
              </w:rPr>
              <w:t>VIII. BADANIE OFERTY</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ar-SA"/>
              </w:rPr>
              <w:t xml:space="preserve">W toku badania i oceny ofert, Zamawiający może żądać od Wykonawców wyjaśnień dotyczących treści złożonych ofert. </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en-US"/>
              </w:rPr>
              <w:t xml:space="preserve">Zamawiający poprawia w ofercie: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pisarskie,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rachunkowe z uwzględnieniem konsekwencji rachunkowych </w:t>
            </w:r>
            <w:r w:rsidRPr="000306B6">
              <w:rPr>
                <w:rFonts w:eastAsia="Calibri"/>
                <w:lang w:eastAsia="en-US"/>
              </w:rPr>
              <w:lastRenderedPageBreak/>
              <w:t xml:space="preserve">dokonanych poprawek,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inne omyłki polegające na niezgodności oferty z zapisami niniejszego zapytania ofertowego, niepowodujące istotnych zmian w treści oferty, </w:t>
            </w:r>
          </w:p>
          <w:p w:rsidR="00654219" w:rsidRPr="000306B6" w:rsidRDefault="00654219" w:rsidP="00654219">
            <w:pPr>
              <w:keepNext/>
              <w:widowControl w:val="0"/>
              <w:jc w:val="both"/>
              <w:rPr>
                <w:rFonts w:eastAsia="Verdana,Bold"/>
                <w:b/>
                <w:bCs/>
                <w:color w:val="000000"/>
              </w:rPr>
            </w:pPr>
            <w:r w:rsidRPr="000306B6">
              <w:rPr>
                <w:rFonts w:eastAsia="Verdana,Bold"/>
                <w:b/>
                <w:bCs/>
                <w:color w:val="000000"/>
              </w:rPr>
              <w:t>ZAMAWIAJĄCY ODRZUCI OFERTĘ</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 xml:space="preserve">1) </w:t>
            </w:r>
            <w:r w:rsidRPr="000306B6">
              <w:rPr>
                <w:rFonts w:eastAsia="Calibri"/>
                <w:iCs/>
              </w:rPr>
              <w:t>Wykonawcy</w:t>
            </w:r>
            <w:r w:rsidRPr="000306B6">
              <w:rPr>
                <w:rFonts w:eastAsia="Calibri"/>
              </w:rPr>
              <w:t xml:space="preserve">, który złożył więcej niż jedną ofertę w prowadzonym postępowaniu. </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2) Treść złożonej oferty n</w:t>
            </w:r>
            <w:r w:rsidRPr="000306B6">
              <w:rPr>
                <w:rFonts w:eastAsia="Calibri"/>
              </w:rPr>
              <w:t xml:space="preserve">ie odpowiada warunkom postępowania. </w:t>
            </w:r>
          </w:p>
          <w:p w:rsidR="00654219" w:rsidRPr="000306B6" w:rsidRDefault="00654219" w:rsidP="00654219">
            <w:pPr>
              <w:keepNext/>
              <w:widowControl w:val="0"/>
              <w:autoSpaceDE w:val="0"/>
              <w:autoSpaceDN w:val="0"/>
              <w:adjustRightInd w:val="0"/>
              <w:ind w:left="585"/>
              <w:jc w:val="both"/>
              <w:rPr>
                <w:rFonts w:eastAsia="Calibri"/>
                <w:color w:val="000000"/>
              </w:rPr>
            </w:pPr>
            <w:r w:rsidRPr="000306B6">
              <w:rPr>
                <w:rFonts w:eastAsia="Calibri"/>
              </w:rPr>
              <w:t>3)</w:t>
            </w:r>
            <w:r w:rsidRPr="000306B6">
              <w:rPr>
                <w:rFonts w:eastAsia="Calibri"/>
                <w:color w:val="000000"/>
              </w:rPr>
              <w:t xml:space="preserve"> Oferty złożone po terminie</w:t>
            </w:r>
          </w:p>
          <w:p w:rsidR="00654219" w:rsidRPr="000306B6" w:rsidRDefault="00654219" w:rsidP="00654219">
            <w:pPr>
              <w:keepNext/>
              <w:widowControl w:val="0"/>
              <w:autoSpaceDE w:val="0"/>
              <w:autoSpaceDN w:val="0"/>
              <w:adjustRightInd w:val="0"/>
              <w:jc w:val="both"/>
              <w:rPr>
                <w:rFonts w:eastAsia="Calibri"/>
                <w:b/>
                <w:color w:val="000000"/>
              </w:rPr>
            </w:pPr>
            <w:r w:rsidRPr="000306B6">
              <w:rPr>
                <w:rFonts w:eastAsia="Calibri"/>
                <w:b/>
                <w:color w:val="000000"/>
              </w:rPr>
              <w:t>UNIEWAŻNIENIE POSTĘPOWANIA</w:t>
            </w:r>
          </w:p>
          <w:p w:rsidR="00654219" w:rsidRPr="000306B6" w:rsidRDefault="00654219" w:rsidP="00654219">
            <w:pPr>
              <w:numPr>
                <w:ilvl w:val="0"/>
                <w:numId w:val="29"/>
              </w:numPr>
              <w:suppressAutoHyphens/>
              <w:contextualSpacing/>
              <w:jc w:val="both"/>
              <w:rPr>
                <w:rFonts w:eastAsia="Calibri"/>
                <w:lang w:eastAsia="ar-SA"/>
              </w:rPr>
            </w:pPr>
            <w:r w:rsidRPr="000306B6">
              <w:rPr>
                <w:rFonts w:eastAsia="Calibri"/>
                <w:lang w:eastAsia="ar-SA"/>
              </w:rPr>
              <w:t>Zamawiający zastrzega sobie prawo do unieważnienia niniejszego postępowania na każdym jego etapie bez podania przyczyny, o czym poinformuje niezwłocznie wszystkich Oferentów.</w:t>
            </w:r>
          </w:p>
          <w:p w:rsidR="00654219" w:rsidRPr="000306B6" w:rsidRDefault="00654219" w:rsidP="00654219">
            <w:pPr>
              <w:pStyle w:val="p37"/>
              <w:spacing w:before="0" w:beforeAutospacing="0" w:after="0" w:afterAutospacing="0"/>
              <w:rPr>
                <w:b/>
                <w:bCs/>
                <w:color w:val="000000"/>
              </w:rPr>
            </w:pPr>
            <w:r w:rsidRPr="000306B6">
              <w:rPr>
                <w:lang w:eastAsia="ar-SA"/>
              </w:rPr>
              <w:t>Unieważnienia postępowania w sytuacji, kiedy cena za wykonanie zamówienia jest wyższa od kwoty, jaką Zamawiający może przeznaczyć na realizację zamówienia.</w:t>
            </w:r>
          </w:p>
        </w:tc>
      </w:tr>
      <w:tr w:rsidR="002F6ACD"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2F6ACD" w:rsidRDefault="002F6ACD" w:rsidP="002F6ACD">
            <w:pPr>
              <w:pStyle w:val="p37"/>
              <w:spacing w:before="0" w:beforeAutospacing="0" w:after="0" w:afterAutospacing="0"/>
              <w:jc w:val="both"/>
              <w:rPr>
                <w:bCs/>
                <w:color w:val="000000"/>
              </w:rPr>
            </w:pPr>
            <w:r>
              <w:rPr>
                <w:bCs/>
                <w:color w:val="000000"/>
              </w:rPr>
              <w:lastRenderedPageBreak/>
              <w:t>I</w:t>
            </w:r>
            <w:r w:rsidRPr="00FB1361">
              <w:rPr>
                <w:bCs/>
                <w:color w:val="000000"/>
              </w:rPr>
              <w:t xml:space="preserve">X. </w:t>
            </w:r>
            <w:r w:rsidRPr="00033AF1">
              <w:rPr>
                <w:b/>
                <w:bCs/>
                <w:color w:val="000000"/>
              </w:rPr>
              <w:t>ODPOWIEDZI NA PYTANIA WYKONAWCÓW ORAZ ZMIANY TREŚCI OGŁOSZENIA</w:t>
            </w:r>
          </w:p>
          <w:p w:rsidR="002F6ACD" w:rsidRPr="00693802" w:rsidRDefault="002F6ACD" w:rsidP="002F6ACD">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0765AC">
              <w:rPr>
                <w:rFonts w:ascii="Times New Roman" w:hAnsi="Times New Roman" w:cs="Calibri"/>
                <w:sz w:val="24"/>
                <w:szCs w:val="24"/>
                <w:lang w:val="en-US"/>
              </w:rPr>
              <w:t>kaczork@prz.edu.pl</w:t>
            </w:r>
          </w:p>
          <w:p w:rsidR="002F6ACD" w:rsidRPr="00693802" w:rsidRDefault="002F6ACD" w:rsidP="002F6ACD">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2F6ACD" w:rsidRPr="00693802" w:rsidRDefault="002F6ACD" w:rsidP="002F6ACD">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2F6ACD" w:rsidRPr="00693802" w:rsidRDefault="002F6ACD" w:rsidP="002F6ACD">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11" w:history="1">
              <w:r w:rsidRPr="00693802">
                <w:rPr>
                  <w:rStyle w:val="Hipercze"/>
                  <w:rFonts w:ascii="Times New Roman" w:hAnsi="Times New Roman" w:cs="Calibri"/>
                  <w:sz w:val="24"/>
                  <w:szCs w:val="24"/>
                  <w:lang w:val="pl-PL"/>
                </w:rPr>
                <w:t>http://www.ogloszenia.propublico.pl/prz</w:t>
              </w:r>
            </w:hyperlink>
          </w:p>
          <w:p w:rsidR="002F6ACD" w:rsidRPr="000306B6" w:rsidRDefault="002F6ACD" w:rsidP="002F6ACD">
            <w:pPr>
              <w:jc w:val="both"/>
              <w:rPr>
                <w:b/>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2F6ACD"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2F6ACD" w:rsidRDefault="002F6ACD" w:rsidP="002F6ACD">
            <w:pPr>
              <w:pStyle w:val="p37"/>
              <w:spacing w:before="0" w:beforeAutospacing="0" w:after="0" w:afterAutospacing="0"/>
              <w:jc w:val="both"/>
              <w:rPr>
                <w:bCs/>
                <w:color w:val="000000"/>
              </w:rPr>
            </w:pPr>
            <w:r w:rsidRPr="00FB1361">
              <w:rPr>
                <w:bCs/>
                <w:color w:val="000000"/>
              </w:rPr>
              <w:t xml:space="preserve">X. </w:t>
            </w:r>
            <w:r>
              <w:rPr>
                <w:bCs/>
                <w:color w:val="000000"/>
              </w:rPr>
              <w:t xml:space="preserve">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2F6ACD" w:rsidRDefault="002F6ACD" w:rsidP="001B541E">
      <w:pPr>
        <w:jc w:val="center"/>
        <w:rPr>
          <w:rFonts w:ascii="Arial" w:hAnsi="Arial" w:cs="Arial"/>
          <w:b/>
          <w:sz w:val="28"/>
          <w:szCs w:val="28"/>
        </w:rPr>
      </w:pPr>
    </w:p>
    <w:p w:rsidR="007B3A5B" w:rsidRDefault="00135516" w:rsidP="007B3A5B">
      <w:pPr>
        <w:pStyle w:val="p2"/>
        <w:spacing w:before="0" w:beforeAutospacing="0" w:after="0" w:afterAutospacing="0" w:line="360" w:lineRule="auto"/>
        <w:jc w:val="center"/>
        <w:rPr>
          <w:noProof/>
        </w:rPr>
      </w:pPr>
      <w:r>
        <w:rPr>
          <w:noProof/>
        </w:rPr>
        <w:lastRenderedPageBreak/>
        <w:pict>
          <v:shape id="_x0000_i1026" type="#_x0000_t75" alt="Pasek logotypów: Fundusze Europejskie Program Regionalny, Rzeczpospolita Polska, Podkarpackie,  Unia Europejska EFRR" style="width:452.65pt;height:34.45pt;visibility:visible;mso-wrap-style:square">
            <v:imagedata r:id="rId8" o:title=" Fundusze Europejskie Program Regionalny, Rzeczpospolita Polska, Podkarpackie,  Unia Europejska EFRR"/>
          </v:shape>
        </w:pict>
      </w:r>
    </w:p>
    <w:p w:rsidR="007B3A5B" w:rsidRPr="005F6295" w:rsidRDefault="007B3A5B" w:rsidP="007B3A5B">
      <w:pPr>
        <w:rPr>
          <w:sz w:val="20"/>
          <w:szCs w:val="20"/>
        </w:rPr>
      </w:pPr>
      <w:r w:rsidRPr="005F6295">
        <w:rPr>
          <w:sz w:val="20"/>
          <w:szCs w:val="20"/>
        </w:rPr>
        <w:t xml:space="preserve">RPO .FF .22.001 - N3_547 System wykrywania zmian przerzutowych w </w:t>
      </w:r>
      <w:proofErr w:type="spellStart"/>
      <w:r w:rsidRPr="005F6295">
        <w:rPr>
          <w:sz w:val="20"/>
          <w:szCs w:val="20"/>
        </w:rPr>
        <w:t>niskodawkowych</w:t>
      </w:r>
      <w:proofErr w:type="spellEnd"/>
      <w:r w:rsidRPr="005F6295">
        <w:rPr>
          <w:sz w:val="20"/>
          <w:szCs w:val="20"/>
        </w:rPr>
        <w:t xml:space="preserve"> obrazach RTG-TK z uży</w:t>
      </w:r>
      <w:r w:rsidR="00C317CC">
        <w:rPr>
          <w:sz w:val="20"/>
          <w:szCs w:val="20"/>
        </w:rPr>
        <w:t>ciem metod uczenia maszynowego.</w:t>
      </w:r>
      <w:bookmarkStart w:id="0" w:name="_GoBack"/>
      <w:bookmarkEnd w:id="0"/>
    </w:p>
    <w:p w:rsidR="002F6ACD" w:rsidRDefault="002F6ACD" w:rsidP="001B541E">
      <w:pPr>
        <w:jc w:val="center"/>
        <w:rPr>
          <w:rFonts w:ascii="Arial" w:hAnsi="Arial" w:cs="Arial"/>
          <w:b/>
          <w:sz w:val="28"/>
          <w:szCs w:val="28"/>
        </w:rPr>
      </w:pPr>
    </w:p>
    <w:p w:rsidR="002F6ACD" w:rsidRPr="002F6ACD" w:rsidRDefault="002F6ACD" w:rsidP="002F6ACD">
      <w:pPr>
        <w:jc w:val="right"/>
        <w:rPr>
          <w:rFonts w:ascii="Arial" w:hAnsi="Arial" w:cs="Arial"/>
        </w:rPr>
      </w:pPr>
      <w:r w:rsidRPr="002F6ACD">
        <w:rPr>
          <w:rFonts w:ascii="Arial" w:hAnsi="Arial" w:cs="Arial"/>
        </w:rPr>
        <w:t>Zał.1</w:t>
      </w: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0765AC" w:rsidRPr="000765AC">
        <w:rPr>
          <w:rFonts w:ascii="Arial" w:hAnsi="Arial" w:cs="Arial"/>
          <w:sz w:val="28"/>
          <w:szCs w:val="28"/>
          <w:u w:val="single"/>
        </w:rPr>
        <w:t>Dostawy</w:t>
      </w:r>
      <w:r w:rsidRPr="00A84A89">
        <w:rPr>
          <w:rFonts w:ascii="Arial" w:hAnsi="Arial" w:cs="Arial"/>
          <w:sz w:val="28"/>
          <w:szCs w:val="28"/>
          <w:u w:val="single"/>
        </w:rPr>
        <w:t xml:space="preserve"> </w:t>
      </w:r>
    </w:p>
    <w:p w:rsidR="002F6ACD" w:rsidRPr="00A84A89" w:rsidRDefault="002F6ACD" w:rsidP="001B541E">
      <w:pPr>
        <w:jc w:val="center"/>
        <w:rPr>
          <w:rFonts w:ascii="Arial" w:hAnsi="Arial" w:cs="Arial"/>
          <w:sz w:val="28"/>
          <w:szCs w:val="28"/>
          <w:u w:val="single"/>
        </w:rPr>
      </w:pPr>
      <w:r>
        <w:rPr>
          <w:rFonts w:ascii="Arial" w:hAnsi="Arial" w:cs="Arial"/>
          <w:sz w:val="28"/>
          <w:szCs w:val="28"/>
          <w:u w:val="single"/>
        </w:rPr>
        <w:t>NA/O/198/2022</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0765AC" w:rsidP="001B541E">
      <w:pPr>
        <w:pStyle w:val="Tekstpodstawowy"/>
        <w:ind w:left="360"/>
        <w:jc w:val="center"/>
        <w:rPr>
          <w:rFonts w:ascii="Arial" w:hAnsi="Arial" w:cs="Arial"/>
        </w:rPr>
      </w:pPr>
      <w:r w:rsidRPr="000765AC">
        <w:rPr>
          <w:rFonts w:ascii="Arial" w:hAnsi="Arial" w:cs="Arial"/>
        </w:rPr>
        <w:t>POLITECHNIKA RZESZOWSKA</w:t>
      </w:r>
    </w:p>
    <w:p w:rsidR="001B541E" w:rsidRPr="00A40632" w:rsidRDefault="000765AC" w:rsidP="001B541E">
      <w:pPr>
        <w:pStyle w:val="Tekstpodstawowy"/>
        <w:ind w:left="360"/>
        <w:jc w:val="center"/>
        <w:rPr>
          <w:rFonts w:ascii="Arial" w:hAnsi="Arial" w:cs="Arial"/>
        </w:rPr>
      </w:pPr>
      <w:r w:rsidRPr="000765AC">
        <w:rPr>
          <w:rFonts w:ascii="Arial" w:hAnsi="Arial" w:cs="Arial"/>
        </w:rPr>
        <w:t>Al. Powstańców Warszawy</w:t>
      </w:r>
      <w:r w:rsidR="001B541E" w:rsidRPr="00A40632">
        <w:rPr>
          <w:rFonts w:ascii="Arial" w:hAnsi="Arial" w:cs="Arial"/>
        </w:rPr>
        <w:t xml:space="preserve"> </w:t>
      </w:r>
      <w:r w:rsidRPr="000765AC">
        <w:rPr>
          <w:rFonts w:ascii="Arial" w:hAnsi="Arial" w:cs="Arial"/>
        </w:rPr>
        <w:t>12</w:t>
      </w:r>
      <w:r w:rsidR="001B541E" w:rsidRPr="00A40632">
        <w:rPr>
          <w:rFonts w:ascii="Arial" w:hAnsi="Arial" w:cs="Arial"/>
        </w:rPr>
        <w:t xml:space="preserve"> </w:t>
      </w:r>
    </w:p>
    <w:p w:rsidR="001B541E" w:rsidRPr="00A40632" w:rsidRDefault="000765AC" w:rsidP="001B541E">
      <w:pPr>
        <w:pStyle w:val="Tekstpodstawowy"/>
        <w:ind w:left="360"/>
        <w:jc w:val="center"/>
        <w:rPr>
          <w:rFonts w:ascii="Arial" w:hAnsi="Arial" w:cs="Arial"/>
        </w:rPr>
      </w:pPr>
      <w:r w:rsidRPr="000765AC">
        <w:rPr>
          <w:rFonts w:ascii="Arial" w:hAnsi="Arial" w:cs="Arial"/>
        </w:rPr>
        <w:t>35-959</w:t>
      </w:r>
      <w:r w:rsidR="001B541E" w:rsidRPr="00A40632">
        <w:rPr>
          <w:rFonts w:ascii="Arial" w:hAnsi="Arial" w:cs="Arial"/>
        </w:rPr>
        <w:t xml:space="preserve"> </w:t>
      </w:r>
      <w:r w:rsidRPr="000765AC">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0765AC" w:rsidRPr="00217E5B">
        <w:rPr>
          <w:rFonts w:ascii="Arial" w:hAnsi="Arial" w:cs="Arial"/>
        </w:rPr>
        <w:t>mgr Katarzyna</w:t>
      </w:r>
      <w:r w:rsidRPr="00A40632">
        <w:rPr>
          <w:rFonts w:ascii="Arial" w:hAnsi="Arial" w:cs="Arial"/>
        </w:rPr>
        <w:t xml:space="preserve"> </w:t>
      </w:r>
      <w:r w:rsidR="000765AC" w:rsidRPr="000765AC">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0765AC" w:rsidP="001B541E">
      <w:pPr>
        <w:ind w:left="142"/>
        <w:jc w:val="center"/>
        <w:rPr>
          <w:rFonts w:ascii="Arial" w:hAnsi="Arial" w:cs="Arial"/>
        </w:rPr>
      </w:pPr>
      <w:r w:rsidRPr="000765AC">
        <w:rPr>
          <w:rFonts w:ascii="Arial" w:hAnsi="Arial" w:cs="Arial"/>
          <w:b/>
        </w:rPr>
        <w:t>Dostawa sprzętu: macierz dysków sieciowych i nośników danych</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C317CC"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17E5B" w:rsidTr="00217E5B">
        <w:tc>
          <w:tcPr>
            <w:tcW w:w="9284" w:type="dxa"/>
            <w:shd w:val="clear" w:color="auto" w:fill="F3F3F3"/>
            <w:vAlign w:val="center"/>
          </w:tcPr>
          <w:p w:rsidR="00217E5B" w:rsidRPr="00CA0351" w:rsidRDefault="00217E5B" w:rsidP="006D01AC">
            <w:pPr>
              <w:pStyle w:val="ProPublico"/>
              <w:numPr>
                <w:ilvl w:val="1"/>
                <w:numId w:val="0"/>
              </w:numPr>
              <w:tabs>
                <w:tab w:val="num" w:pos="0"/>
              </w:tabs>
              <w:spacing w:after="120" w:line="240" w:lineRule="auto"/>
              <w:jc w:val="center"/>
              <w:rPr>
                <w:rFonts w:ascii="Times New Roman" w:hAnsi="Times New Roman"/>
                <w:sz w:val="20"/>
              </w:rPr>
            </w:pPr>
          </w:p>
        </w:tc>
      </w:tr>
      <w:tr w:rsidR="00217E5B" w:rsidTr="00217E5B">
        <w:tc>
          <w:tcPr>
            <w:tcW w:w="9284" w:type="dxa"/>
          </w:tcPr>
          <w:p w:rsidR="00217E5B" w:rsidRPr="002661CA" w:rsidRDefault="00217E5B" w:rsidP="00EA7788">
            <w:pPr>
              <w:spacing w:line="360" w:lineRule="auto"/>
              <w:rPr>
                <w:rFonts w:ascii="Arial" w:hAnsi="Arial" w:cs="Arial"/>
                <w:b/>
                <w:sz w:val="22"/>
                <w:szCs w:val="22"/>
              </w:rPr>
            </w:pPr>
            <w:r w:rsidRPr="000765AC">
              <w:rPr>
                <w:rFonts w:ascii="Arial" w:hAnsi="Arial" w:cs="Arial"/>
                <w:b/>
                <w:sz w:val="22"/>
                <w:szCs w:val="22"/>
              </w:rPr>
              <w:t>Dostawa sprzętu: macierz dysków sieciowych i nośników danych</w:t>
            </w:r>
          </w:p>
          <w:p w:rsidR="00217E5B" w:rsidRPr="002661CA" w:rsidRDefault="00217E5B" w:rsidP="00EA7788">
            <w:pPr>
              <w:spacing w:line="360" w:lineRule="auto"/>
              <w:rPr>
                <w:rFonts w:ascii="Arial" w:hAnsi="Arial" w:cs="Arial"/>
              </w:rPr>
            </w:pPr>
            <w:r w:rsidRPr="002661CA">
              <w:rPr>
                <w:rFonts w:ascii="Arial" w:hAnsi="Arial" w:cs="Arial"/>
              </w:rPr>
              <w:t>cenę netto:....................................zł.</w:t>
            </w:r>
          </w:p>
          <w:p w:rsidR="00217E5B" w:rsidRPr="002661CA" w:rsidRDefault="00217E5B" w:rsidP="00EA7788">
            <w:pPr>
              <w:spacing w:line="360" w:lineRule="auto"/>
              <w:rPr>
                <w:rFonts w:ascii="Arial" w:hAnsi="Arial" w:cs="Arial"/>
              </w:rPr>
            </w:pPr>
            <w:r w:rsidRPr="002661CA">
              <w:rPr>
                <w:rFonts w:ascii="Arial" w:hAnsi="Arial" w:cs="Arial"/>
              </w:rPr>
              <w:t>słownie netto: ...................................................................................................................................zł.</w:t>
            </w:r>
          </w:p>
          <w:p w:rsidR="00217E5B" w:rsidRPr="002661CA" w:rsidRDefault="00217E5B" w:rsidP="00EA7788">
            <w:pPr>
              <w:spacing w:line="360" w:lineRule="auto"/>
              <w:rPr>
                <w:rFonts w:ascii="Arial" w:hAnsi="Arial" w:cs="Arial"/>
              </w:rPr>
            </w:pPr>
            <w:r w:rsidRPr="002661CA">
              <w:rPr>
                <w:rFonts w:ascii="Arial" w:hAnsi="Arial" w:cs="Arial"/>
              </w:rPr>
              <w:t>cenę brutto:..................................zł.</w:t>
            </w:r>
          </w:p>
          <w:p w:rsidR="00217E5B" w:rsidRPr="002661CA" w:rsidRDefault="00217E5B" w:rsidP="00EA7788">
            <w:pPr>
              <w:spacing w:line="360" w:lineRule="auto"/>
              <w:rPr>
                <w:rFonts w:ascii="Arial" w:hAnsi="Arial" w:cs="Arial"/>
              </w:rPr>
            </w:pPr>
            <w:r w:rsidRPr="002661CA">
              <w:rPr>
                <w:rFonts w:ascii="Arial" w:hAnsi="Arial" w:cs="Arial"/>
              </w:rPr>
              <w:lastRenderedPageBreak/>
              <w:t>słownie brutto: ...................................................................................................................................zł.</w:t>
            </w:r>
          </w:p>
          <w:p w:rsidR="00217E5B" w:rsidRPr="002661CA" w:rsidRDefault="00217E5B" w:rsidP="00EA7788">
            <w:pPr>
              <w:spacing w:line="360" w:lineRule="auto"/>
              <w:rPr>
                <w:rFonts w:ascii="Arial" w:hAnsi="Arial" w:cs="Arial"/>
              </w:rPr>
            </w:pPr>
            <w:r w:rsidRPr="002661CA">
              <w:rPr>
                <w:rFonts w:ascii="Arial" w:hAnsi="Arial" w:cs="Arial"/>
              </w:rPr>
              <w:t>podatek VAT:...............................zł.</w:t>
            </w:r>
          </w:p>
          <w:p w:rsidR="00217E5B" w:rsidRDefault="00217E5B" w:rsidP="00EA778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0765AC" w:rsidRPr="000765AC">
        <w:rPr>
          <w:rFonts w:ascii="Arial" w:hAnsi="Arial" w:cs="Arial"/>
        </w:rPr>
        <w:t>14 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7B3A5B">
        <w:rPr>
          <w:rFonts w:ascii="Arial" w:hAnsi="Arial" w:cs="Arial"/>
        </w:rPr>
        <w:t xml:space="preserve"> do 14 dni</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0765AC" w:rsidRPr="000765AC">
        <w:rPr>
          <w:rFonts w:ascii="Arial" w:hAnsi="Arial" w:cs="Arial"/>
        </w:rPr>
        <w:t>30</w:t>
      </w:r>
      <w:r w:rsidR="00710227">
        <w:t xml:space="preserve"> dni</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3B4FC8" w:rsidRPr="003B4FC8" w:rsidRDefault="003B4FC8" w:rsidP="003B4FC8">
      <w:pPr>
        <w:spacing w:line="360" w:lineRule="auto"/>
        <w:ind w:hanging="284"/>
        <w:jc w:val="both"/>
        <w:rPr>
          <w:rFonts w:ascii="Arial" w:eastAsia="Calibri" w:hAnsi="Arial" w:cs="Arial"/>
        </w:rPr>
      </w:pPr>
      <w:r w:rsidRPr="003B4FC8">
        <w:rPr>
          <w:rFonts w:ascii="Arial" w:eastAsia="Calibri" w:hAnsi="Arial" w:cs="Arial"/>
        </w:rPr>
        <w:t>4.</w:t>
      </w:r>
      <w:r>
        <w:rPr>
          <w:rFonts w:eastAsia="Calibri"/>
          <w:sz w:val="22"/>
          <w:szCs w:val="22"/>
        </w:rPr>
        <w:t xml:space="preserve"> </w:t>
      </w:r>
      <w:r w:rsidRPr="003B4FC8">
        <w:rPr>
          <w:rFonts w:ascii="Arial" w:eastAsia="Calibri" w:hAnsi="Arial" w:cs="Arial"/>
        </w:rPr>
        <w:t>Oświadczam, że:</w:t>
      </w:r>
    </w:p>
    <w:p w:rsidR="003B4FC8" w:rsidRPr="003B4FC8" w:rsidRDefault="003B4FC8" w:rsidP="003B4FC8">
      <w:pPr>
        <w:spacing w:line="360" w:lineRule="auto"/>
        <w:jc w:val="both"/>
        <w:rPr>
          <w:rFonts w:ascii="Arial" w:eastAsia="Calibri" w:hAnsi="Arial" w:cs="Arial"/>
        </w:rPr>
      </w:pPr>
      <w:r w:rsidRPr="003B4FC8">
        <w:rPr>
          <w:rFonts w:ascii="Arial" w:hAnsi="Arial" w:cs="Arial"/>
        </w:rPr>
        <w:fldChar w:fldCharType="begin">
          <w:ffData>
            <w:name w:val="Check54"/>
            <w:enabled/>
            <w:calcOnExit w:val="0"/>
            <w:checkBox>
              <w:sizeAuto/>
              <w:default w:val="0"/>
            </w:checkBox>
          </w:ffData>
        </w:fldChar>
      </w:r>
      <w:r w:rsidRPr="003B4FC8">
        <w:rPr>
          <w:rFonts w:ascii="Arial" w:hAnsi="Arial" w:cs="Arial"/>
        </w:rPr>
        <w:instrText xml:space="preserve"> FORMCHECKBOX </w:instrText>
      </w:r>
      <w:r w:rsidR="00C317CC">
        <w:rPr>
          <w:rFonts w:ascii="Arial" w:hAnsi="Arial" w:cs="Arial"/>
        </w:rPr>
      </w:r>
      <w:r w:rsidR="00C317CC">
        <w:rPr>
          <w:rFonts w:ascii="Arial" w:hAnsi="Arial" w:cs="Arial"/>
        </w:rPr>
        <w:fldChar w:fldCharType="separate"/>
      </w:r>
      <w:r w:rsidRPr="003B4FC8">
        <w:rPr>
          <w:rFonts w:ascii="Arial" w:hAnsi="Arial" w:cs="Arial"/>
        </w:rPr>
        <w:fldChar w:fldCharType="end"/>
      </w:r>
      <w:r w:rsidRPr="003B4FC8">
        <w:rPr>
          <w:rFonts w:ascii="Arial" w:hAnsi="Arial" w:cs="Arial"/>
        </w:rPr>
        <w:t xml:space="preserve"> </w:t>
      </w:r>
      <w:r w:rsidRPr="003B4FC8">
        <w:rPr>
          <w:rFonts w:ascii="Arial" w:eastAsia="Calibri" w:hAnsi="Arial" w:cs="Arial"/>
        </w:rPr>
        <w:t xml:space="preserve">podlegam </w:t>
      </w:r>
      <w:r w:rsidRPr="003B4FC8">
        <w:rPr>
          <w:rFonts w:ascii="Arial" w:eastAsia="Calibri" w:hAnsi="Arial" w:cs="Arial"/>
        </w:rPr>
        <w:tab/>
        <w:t xml:space="preserve">wykluczeniu na podstawie </w:t>
      </w:r>
      <w:r w:rsidRPr="003B4FC8">
        <w:rPr>
          <w:rFonts w:ascii="Arial" w:hAnsi="Arial" w:cs="Arial"/>
          <w:color w:val="222222"/>
        </w:rPr>
        <w:t>art. 7 ust. 1 ustawy z dnia 13 kwietnia 2022 r. o szczególnych rozwiązaniach w zakresie przeciwdziałania wspieraniu agresji na Ukrainę oraz służących ochronie bezpieczeństwa narodowego</w:t>
      </w:r>
      <w:r w:rsidRPr="003B4FC8">
        <w:rPr>
          <w:rFonts w:ascii="Arial" w:eastAsia="Calibri" w:hAnsi="Arial" w:cs="Arial"/>
        </w:rPr>
        <w:t xml:space="preserve">, </w:t>
      </w:r>
    </w:p>
    <w:p w:rsidR="003B4FC8" w:rsidRDefault="003B4FC8" w:rsidP="003B4FC8">
      <w:pPr>
        <w:spacing w:line="360" w:lineRule="auto"/>
        <w:jc w:val="both"/>
        <w:rPr>
          <w:rFonts w:eastAsia="Calibri"/>
          <w:sz w:val="22"/>
          <w:szCs w:val="22"/>
        </w:rPr>
      </w:pPr>
      <w:r w:rsidRPr="003B4FC8">
        <w:rPr>
          <w:rFonts w:ascii="Arial" w:eastAsia="Calibri" w:hAnsi="Arial" w:cs="Arial"/>
        </w:rPr>
        <w:t xml:space="preserve"> </w:t>
      </w:r>
      <w:r w:rsidRPr="003B4FC8">
        <w:rPr>
          <w:rFonts w:ascii="Arial" w:hAnsi="Arial" w:cs="Arial"/>
        </w:rPr>
        <w:fldChar w:fldCharType="begin">
          <w:ffData>
            <w:name w:val="Check54"/>
            <w:enabled/>
            <w:calcOnExit w:val="0"/>
            <w:checkBox>
              <w:sizeAuto/>
              <w:default w:val="0"/>
            </w:checkBox>
          </w:ffData>
        </w:fldChar>
      </w:r>
      <w:r w:rsidRPr="003B4FC8">
        <w:rPr>
          <w:rFonts w:ascii="Arial" w:hAnsi="Arial" w:cs="Arial"/>
        </w:rPr>
        <w:instrText xml:space="preserve"> FORMCHECKBOX </w:instrText>
      </w:r>
      <w:r w:rsidR="00C317CC">
        <w:rPr>
          <w:rFonts w:ascii="Arial" w:hAnsi="Arial" w:cs="Arial"/>
        </w:rPr>
      </w:r>
      <w:r w:rsidR="00C317CC">
        <w:rPr>
          <w:rFonts w:ascii="Arial" w:hAnsi="Arial" w:cs="Arial"/>
        </w:rPr>
        <w:fldChar w:fldCharType="separate"/>
      </w:r>
      <w:r w:rsidRPr="003B4FC8">
        <w:rPr>
          <w:rFonts w:ascii="Arial" w:hAnsi="Arial" w:cs="Arial"/>
        </w:rPr>
        <w:fldChar w:fldCharType="end"/>
      </w:r>
      <w:r w:rsidRPr="003B4FC8">
        <w:rPr>
          <w:rFonts w:ascii="Arial" w:hAnsi="Arial" w:cs="Arial"/>
        </w:rPr>
        <w:t xml:space="preserve"> nie podlegam </w:t>
      </w:r>
      <w:r w:rsidRPr="003B4FC8">
        <w:rPr>
          <w:rFonts w:ascii="Arial" w:eastAsia="Calibri" w:hAnsi="Arial" w:cs="Arial"/>
        </w:rPr>
        <w:t xml:space="preserve">wykluczeniu na podstawie </w:t>
      </w:r>
      <w:r w:rsidRPr="003B4FC8">
        <w:rPr>
          <w:rFonts w:ascii="Arial" w:hAnsi="Arial" w:cs="Arial"/>
          <w:color w:val="222222"/>
        </w:rPr>
        <w:t>art. 7 ust. 1 ustawy z dnia 13 kwietnia 2022 r. o szczególnych rozwiązaniach w zakresie przeciwdziałania wspieraniu agresji na Ukrainę oraz służących ochronie bezpieczeństwa narodowego</w:t>
      </w:r>
      <w:r>
        <w:rPr>
          <w:rFonts w:eastAsia="Calibri"/>
          <w:sz w:val="22"/>
          <w:szCs w:val="22"/>
        </w:rPr>
        <w:t>.</w:t>
      </w:r>
    </w:p>
    <w:p w:rsidR="00FE25FF" w:rsidRDefault="00FE25FF" w:rsidP="001B541E">
      <w:pPr>
        <w:spacing w:before="120"/>
        <w:jc w:val="both"/>
        <w:rPr>
          <w:rFonts w:ascii="Arial" w:hAnsi="Arial" w:cs="Arial"/>
        </w:rPr>
      </w:pPr>
    </w:p>
    <w:p w:rsidR="001B541E" w:rsidRPr="00A40632" w:rsidRDefault="003B4FC8" w:rsidP="001B541E">
      <w:pPr>
        <w:spacing w:before="120"/>
        <w:jc w:val="both"/>
        <w:rPr>
          <w:rFonts w:ascii="Arial" w:hAnsi="Arial" w:cs="Arial"/>
        </w:rPr>
      </w:pPr>
      <w:r>
        <w:rPr>
          <w:rFonts w:ascii="Arial" w:hAnsi="Arial" w:cs="Arial"/>
        </w:rPr>
        <w:t>5</w:t>
      </w:r>
      <w:r w:rsidR="001B541E" w:rsidRPr="00A40632">
        <w:rPr>
          <w:rFonts w:ascii="Arial" w:hAnsi="Arial" w:cs="Arial"/>
        </w:rPr>
        <w:t>. Ofertę niniejszą składam na kolejno ponumerowanych stronach.</w:t>
      </w:r>
    </w:p>
    <w:p w:rsidR="001B541E" w:rsidRPr="00A40632" w:rsidRDefault="003B4FC8" w:rsidP="001B541E">
      <w:pPr>
        <w:spacing w:before="240"/>
        <w:jc w:val="both"/>
        <w:rPr>
          <w:rFonts w:ascii="Arial" w:hAnsi="Arial" w:cs="Arial"/>
        </w:rPr>
      </w:pPr>
      <w:r>
        <w:rPr>
          <w:rFonts w:ascii="Arial" w:hAnsi="Arial" w:cs="Arial"/>
        </w:rPr>
        <w:t>6</w:t>
      </w:r>
      <w:r w:rsidR="001B541E" w:rsidRPr="00A40632">
        <w:rPr>
          <w:rFonts w:ascii="Arial" w:hAnsi="Arial" w:cs="Arial"/>
        </w:rPr>
        <w:t>.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710227" w:rsidRDefault="001B541E" w:rsidP="001B541E">
      <w:pPr>
        <w:rPr>
          <w:rFonts w:ascii="Arial" w:hAnsi="Arial" w:cs="Arial"/>
          <w:i/>
        </w:rPr>
      </w:pPr>
      <w:r w:rsidRPr="00A40632">
        <w:rPr>
          <w:rFonts w:ascii="Arial" w:hAnsi="Arial" w:cs="Arial"/>
          <w:i/>
        </w:rPr>
        <w:t xml:space="preserve">                              </w:t>
      </w:r>
      <w:r w:rsidR="00710227">
        <w:rPr>
          <w:rFonts w:ascii="Arial" w:hAnsi="Arial" w:cs="Arial"/>
          <w:i/>
        </w:rPr>
        <w:t xml:space="preserve">          </w:t>
      </w:r>
      <w:r>
        <w:rPr>
          <w:rFonts w:ascii="Arial" w:hAnsi="Arial" w:cs="Arial"/>
          <w:i/>
        </w:rPr>
        <w:t xml:space="preserve">              </w:t>
      </w:r>
    </w:p>
    <w:sectPr w:rsidR="001B541E" w:rsidRPr="0071022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93" w:rsidRDefault="00105793">
      <w:r>
        <w:separator/>
      </w:r>
    </w:p>
  </w:endnote>
  <w:endnote w:type="continuationSeparator" w:id="0">
    <w:p w:rsidR="00105793" w:rsidRDefault="001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317CC">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C317CC">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C317CC">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05793">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93" w:rsidRDefault="00105793">
      <w:r>
        <w:separator/>
      </w:r>
    </w:p>
  </w:footnote>
  <w:footnote w:type="continuationSeparator" w:id="0">
    <w:p w:rsidR="00105793" w:rsidRDefault="0010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C" w:rsidRDefault="000765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C" w:rsidRDefault="000765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C" w:rsidRDefault="000765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BE623AC6"/>
    <w:lvl w:ilvl="0" w:tplc="0E3431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793"/>
    <w:rsid w:val="00006B5B"/>
    <w:rsid w:val="00014627"/>
    <w:rsid w:val="000600B5"/>
    <w:rsid w:val="000765AC"/>
    <w:rsid w:val="000817D2"/>
    <w:rsid w:val="000E2D26"/>
    <w:rsid w:val="00105793"/>
    <w:rsid w:val="00116FC7"/>
    <w:rsid w:val="001306AD"/>
    <w:rsid w:val="00135516"/>
    <w:rsid w:val="001423AC"/>
    <w:rsid w:val="00161679"/>
    <w:rsid w:val="00166F66"/>
    <w:rsid w:val="001708F9"/>
    <w:rsid w:val="00180468"/>
    <w:rsid w:val="00181D7D"/>
    <w:rsid w:val="001B541E"/>
    <w:rsid w:val="001C44C9"/>
    <w:rsid w:val="001E2FF8"/>
    <w:rsid w:val="001E4AEB"/>
    <w:rsid w:val="001E5E94"/>
    <w:rsid w:val="001F5C7C"/>
    <w:rsid w:val="00211900"/>
    <w:rsid w:val="00217E5B"/>
    <w:rsid w:val="00241FE1"/>
    <w:rsid w:val="00255C88"/>
    <w:rsid w:val="00283F79"/>
    <w:rsid w:val="00290754"/>
    <w:rsid w:val="00296213"/>
    <w:rsid w:val="002967B7"/>
    <w:rsid w:val="002A2C4E"/>
    <w:rsid w:val="002E0AE7"/>
    <w:rsid w:val="002E482B"/>
    <w:rsid w:val="002E5C33"/>
    <w:rsid w:val="002F6ACD"/>
    <w:rsid w:val="003078F2"/>
    <w:rsid w:val="003079D0"/>
    <w:rsid w:val="00316BAA"/>
    <w:rsid w:val="00353851"/>
    <w:rsid w:val="00360E6F"/>
    <w:rsid w:val="00375FFF"/>
    <w:rsid w:val="00383584"/>
    <w:rsid w:val="00393B64"/>
    <w:rsid w:val="003B4FC8"/>
    <w:rsid w:val="003D5087"/>
    <w:rsid w:val="003F4C0E"/>
    <w:rsid w:val="003F5C86"/>
    <w:rsid w:val="004025A9"/>
    <w:rsid w:val="0040294E"/>
    <w:rsid w:val="00414D84"/>
    <w:rsid w:val="004B616D"/>
    <w:rsid w:val="004C1BCD"/>
    <w:rsid w:val="00534EBA"/>
    <w:rsid w:val="00577E99"/>
    <w:rsid w:val="00583EF9"/>
    <w:rsid w:val="00587DBF"/>
    <w:rsid w:val="005A476D"/>
    <w:rsid w:val="005D3C55"/>
    <w:rsid w:val="005D78E1"/>
    <w:rsid w:val="005E67CB"/>
    <w:rsid w:val="005F6295"/>
    <w:rsid w:val="00607971"/>
    <w:rsid w:val="00611080"/>
    <w:rsid w:val="00632ADD"/>
    <w:rsid w:val="0064545E"/>
    <w:rsid w:val="00650B8E"/>
    <w:rsid w:val="00654219"/>
    <w:rsid w:val="00693802"/>
    <w:rsid w:val="006A0CCA"/>
    <w:rsid w:val="006C4F93"/>
    <w:rsid w:val="006D01AC"/>
    <w:rsid w:val="006D6F91"/>
    <w:rsid w:val="006F432D"/>
    <w:rsid w:val="006F7EBA"/>
    <w:rsid w:val="00700E1B"/>
    <w:rsid w:val="00700E60"/>
    <w:rsid w:val="00701322"/>
    <w:rsid w:val="00710227"/>
    <w:rsid w:val="007166E9"/>
    <w:rsid w:val="007427DE"/>
    <w:rsid w:val="00763481"/>
    <w:rsid w:val="00767DF9"/>
    <w:rsid w:val="00786D4D"/>
    <w:rsid w:val="007926B3"/>
    <w:rsid w:val="007B3A5B"/>
    <w:rsid w:val="007B7A31"/>
    <w:rsid w:val="00843120"/>
    <w:rsid w:val="008443B5"/>
    <w:rsid w:val="00856DF1"/>
    <w:rsid w:val="008A3EF3"/>
    <w:rsid w:val="008F7860"/>
    <w:rsid w:val="00903B9A"/>
    <w:rsid w:val="0093214C"/>
    <w:rsid w:val="0095289F"/>
    <w:rsid w:val="00975AE5"/>
    <w:rsid w:val="00976928"/>
    <w:rsid w:val="00976F8E"/>
    <w:rsid w:val="009B230D"/>
    <w:rsid w:val="009E25D7"/>
    <w:rsid w:val="009F201D"/>
    <w:rsid w:val="00A14853"/>
    <w:rsid w:val="00A21BF3"/>
    <w:rsid w:val="00A7581F"/>
    <w:rsid w:val="00A776D8"/>
    <w:rsid w:val="00AC237B"/>
    <w:rsid w:val="00AD4C38"/>
    <w:rsid w:val="00AF0090"/>
    <w:rsid w:val="00AF3479"/>
    <w:rsid w:val="00B0255F"/>
    <w:rsid w:val="00B10D7D"/>
    <w:rsid w:val="00B34FAC"/>
    <w:rsid w:val="00B82C42"/>
    <w:rsid w:val="00B87530"/>
    <w:rsid w:val="00B9039F"/>
    <w:rsid w:val="00B910A3"/>
    <w:rsid w:val="00C317CC"/>
    <w:rsid w:val="00C45620"/>
    <w:rsid w:val="00C963FE"/>
    <w:rsid w:val="00CA0351"/>
    <w:rsid w:val="00CA2C76"/>
    <w:rsid w:val="00CD2766"/>
    <w:rsid w:val="00D129B6"/>
    <w:rsid w:val="00D13914"/>
    <w:rsid w:val="00D3354F"/>
    <w:rsid w:val="00D63505"/>
    <w:rsid w:val="00DF2457"/>
    <w:rsid w:val="00DF73C7"/>
    <w:rsid w:val="00E00FE8"/>
    <w:rsid w:val="00E11411"/>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942067-F1E9-414D-B84C-64B10F5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555118678">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loszenia.propublico.pl/pr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czork@prz.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czork@prz.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DDAE-5F68-45A8-A3EC-B22084C3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10</Pages>
  <Words>2193</Words>
  <Characters>15596</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17754</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7</cp:revision>
  <cp:lastPrinted>1899-12-31T22:00:00Z</cp:lastPrinted>
  <dcterms:created xsi:type="dcterms:W3CDTF">2022-07-26T07:55:00Z</dcterms:created>
  <dcterms:modified xsi:type="dcterms:W3CDTF">2022-07-26T08:04:00Z</dcterms:modified>
</cp:coreProperties>
</file>