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B2F" w:rsidRPr="000A3B2F" w:rsidRDefault="000A3B2F" w:rsidP="000A3B2F">
      <w:pPr>
        <w:spacing w:after="0"/>
        <w:rPr>
          <w:rFonts w:ascii="Times New Roman" w:hAnsi="Times New Roman" w:cs="Times New Roman"/>
          <w:color w:val="000000" w:themeColor="text1"/>
        </w:rPr>
      </w:pPr>
      <w:r w:rsidRPr="000A3B2F">
        <w:rPr>
          <w:rFonts w:ascii="Times New Roman" w:hAnsi="Times New Roman" w:cs="Times New Roman"/>
          <w:color w:val="000000" w:themeColor="text1"/>
        </w:rPr>
        <w:t>NA/O/99/2022</w:t>
      </w:r>
    </w:p>
    <w:p w:rsidR="000A3B2F" w:rsidRPr="000A3B2F" w:rsidRDefault="000A3B2F" w:rsidP="000A3B2F">
      <w:pPr>
        <w:spacing w:after="0"/>
        <w:jc w:val="right"/>
        <w:rPr>
          <w:rFonts w:ascii="Times New Roman" w:hAnsi="Times New Roman" w:cs="Times New Roman"/>
          <w:b/>
          <w:color w:val="000000" w:themeColor="text1"/>
        </w:rPr>
      </w:pPr>
      <w:r w:rsidRPr="000A3B2F">
        <w:rPr>
          <w:rFonts w:ascii="Times New Roman" w:hAnsi="Times New Roman" w:cs="Times New Roman"/>
          <w:b/>
          <w:color w:val="000000" w:themeColor="text1"/>
        </w:rPr>
        <w:t>Załącznik nr 1</w:t>
      </w:r>
    </w:p>
    <w:p w:rsidR="000A3B2F" w:rsidRPr="000A3B2F" w:rsidRDefault="000A3B2F" w:rsidP="000A3B2F">
      <w:pPr>
        <w:spacing w:after="0"/>
        <w:jc w:val="right"/>
        <w:rPr>
          <w:rFonts w:ascii="Times New Roman" w:hAnsi="Times New Roman" w:cs="Times New Roman"/>
          <w:b/>
          <w:color w:val="000000" w:themeColor="text1"/>
        </w:rPr>
      </w:pPr>
      <w:r w:rsidRPr="000A3B2F">
        <w:rPr>
          <w:rFonts w:ascii="Times New Roman" w:hAnsi="Times New Roman" w:cs="Times New Roman"/>
          <w:b/>
          <w:color w:val="000000" w:themeColor="text1"/>
        </w:rPr>
        <w:t xml:space="preserve">Szczegółowy opis przedmiotu zamówienia </w:t>
      </w:r>
    </w:p>
    <w:p w:rsidR="000A3B2F" w:rsidRPr="000A3B2F" w:rsidRDefault="000A3B2F" w:rsidP="000A3B2F">
      <w:pPr>
        <w:spacing w:after="0"/>
        <w:jc w:val="right"/>
        <w:rPr>
          <w:rFonts w:ascii="Times New Roman" w:hAnsi="Times New Roman" w:cs="Times New Roman"/>
          <w:b/>
          <w:color w:val="000000" w:themeColor="text1"/>
        </w:rPr>
      </w:pPr>
      <w:r w:rsidRPr="000A3B2F">
        <w:rPr>
          <w:rFonts w:ascii="Times New Roman" w:hAnsi="Times New Roman" w:cs="Times New Roman"/>
          <w:b/>
          <w:color w:val="000000" w:themeColor="text1"/>
        </w:rPr>
        <w:t>Dla zadania częściowego nr 1</w:t>
      </w:r>
    </w:p>
    <w:p w:rsidR="000A3B2F" w:rsidRDefault="000A3B2F" w:rsidP="000A3B2F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7A3937" w:rsidRPr="000A3B2F" w:rsidRDefault="007A3937" w:rsidP="000A3B2F">
      <w:pPr>
        <w:spacing w:after="0"/>
        <w:rPr>
          <w:rFonts w:ascii="Times New Roman" w:hAnsi="Times New Roman" w:cs="Times New Roman"/>
          <w:color w:val="000000" w:themeColor="text1"/>
        </w:rPr>
      </w:pPr>
      <w:r w:rsidRPr="000A3B2F">
        <w:rPr>
          <w:rFonts w:ascii="Times New Roman" w:hAnsi="Times New Roman" w:cs="Times New Roman"/>
          <w:color w:val="000000" w:themeColor="text1"/>
        </w:rPr>
        <w:t xml:space="preserve">Komponenty do budowy prototypu </w:t>
      </w:r>
    </w:p>
    <w:p w:rsidR="007A3937" w:rsidRPr="000A3B2F" w:rsidRDefault="007A3937" w:rsidP="000A3B2F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6662"/>
        <w:gridCol w:w="1277"/>
        <w:gridCol w:w="777"/>
      </w:tblGrid>
      <w:tr w:rsidR="00233BCA" w:rsidRPr="000A3B2F" w:rsidTr="000A3B2F">
        <w:trPr>
          <w:trHeight w:val="600"/>
        </w:trPr>
        <w:tc>
          <w:tcPr>
            <w:tcW w:w="269" w:type="pct"/>
            <w:vAlign w:val="center"/>
          </w:tcPr>
          <w:p w:rsidR="00233BCA" w:rsidRPr="000A3B2F" w:rsidRDefault="00817402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LP</w:t>
            </w:r>
          </w:p>
        </w:tc>
        <w:tc>
          <w:tcPr>
            <w:tcW w:w="3616" w:type="pct"/>
            <w:shd w:val="clear" w:color="auto" w:fill="auto"/>
            <w:vAlign w:val="center"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693" w:type="pct"/>
            <w:shd w:val="clear" w:color="auto" w:fill="auto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Jednostka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Ilość</w:t>
            </w:r>
          </w:p>
        </w:tc>
      </w:tr>
      <w:tr w:rsidR="00233BCA" w:rsidRPr="000A3B2F" w:rsidTr="000A3B2F">
        <w:trPr>
          <w:trHeight w:val="6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</w:t>
            </w:r>
          </w:p>
        </w:tc>
        <w:tc>
          <w:tcPr>
            <w:tcW w:w="3616" w:type="pct"/>
            <w:shd w:val="clear" w:color="auto" w:fill="auto"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Elektrozawór dn100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Przepustnica zawór motylkowy UPVC DN100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napęd zaworu - Siłownik napęd zaworu A1600 230V 160Nm st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rowanie 4-20mA  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Redukcja gniazda napędu ISO5211 z 17mm na 14mm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Przystosowany do podłączenia klejonego z rurą </w:t>
            </w:r>
            <w:proofErr w:type="spellStart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100 z obu stron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z 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wanym układzie hydraulicznym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2,00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2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Elektrozawór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dn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50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5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Przepustnica zawór motylkowy DN50 UPVC z siłownikiem ele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trycznym A500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5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Przepustnica zawór motylkowy UPVC DN50 napęd zaworu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5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Siłownik napęd zaworu A500 230V AC 50Nm 4-20mA 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5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Redukcja gniazda napędu ISO5211 z 14mm na 11mm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5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Przystosowany do podłączenia klejonego z rurą </w:t>
            </w:r>
            <w:proofErr w:type="spellStart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50 z obu stron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5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8,00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3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Ultradźwiękowy czujnik wypełnienia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6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6x czujnik ultradźwiękowy analogowy do pomiary wypełnienia wody, pomiar w zakresie najniższy pomiar 40 mm lub mniej, pomiar najwyższy 400mm lub więcej, DC, 0-10V/4-20mA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6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2x czujnik ultradźwiękowy analogowy do pomiary wypełnienia wody, pomiar w zakresie najniższy pomiar 0 mm, pomiar na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j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wyższy 150mm lub więcej, DC, 0-10V/4-20mA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6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8,00</w:t>
            </w:r>
          </w:p>
        </w:tc>
      </w:tr>
    </w:tbl>
    <w:p w:rsidR="000A3B2F" w:rsidRDefault="000A3B2F" w:rsidP="000A3B2F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6662"/>
        <w:gridCol w:w="1277"/>
        <w:gridCol w:w="777"/>
      </w:tblGrid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4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Pompka  próżniowa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0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metalowa pompka pistoletowa z manometrem od – 1 Bar do 4 Bar.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pojemnik plastikowy 480 ml,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komplet akcesoriów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0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Obracany zegar o 360°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Wytwarza podciśnienia lub ciśnienia z wysoką dokładnością i wygodą;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5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Czujnik wilgotności gleby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1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Czujnik służący do wyznaczania poziomu </w:t>
            </w:r>
            <w:hyperlink r:id="rId7" w:tgtFrame="_blank" w:history="1">
              <w:r w:rsidRPr="000A3B2F">
                <w:rPr>
                  <w:rStyle w:val="Hipercze"/>
                  <w:rFonts w:ascii="Times New Roman" w:hAnsi="Times New Roman" w:cs="Times New Roman"/>
                  <w:color w:val="000000" w:themeColor="text1"/>
                  <w:spacing w:val="-4"/>
                  <w:shd w:val="clear" w:color="auto" w:fill="FFFFFF"/>
                </w:rPr>
                <w:t>wilgotności</w:t>
              </w:r>
            </w:hyperlink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 </w:t>
            </w: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pacing w:val="-4"/>
                <w:shd w:val="clear" w:color="auto" w:fill="FFFFFF"/>
              </w:rPr>
              <w:t>gleby</w:t>
            </w:r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. Zas</w:t>
            </w:r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i</w:t>
            </w:r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lany jest napięciem </w:t>
            </w: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pacing w:val="-4"/>
                <w:shd w:val="clear" w:color="auto" w:fill="FFFFFF"/>
              </w:rPr>
              <w:t>od 3,1 V do 5 V</w:t>
            </w:r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. 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1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pacing w:val="-4"/>
                <w:shd w:val="clear" w:color="auto" w:fill="FFFFFF"/>
              </w:rPr>
              <w:t>Wyjściem jest sygnał  analogowy. 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2,00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6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Tuleja kołnierzowa dn100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Tuleja kołnierzowa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PVC-U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100 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wytrzymuje ciśnienie 10 bar.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7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Kołnierz dn100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Kołnierz 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PVC-U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100 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odporny na temperaturę do 60 stopni, kwasy i zasady.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8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Tuleja kołnierzowa dn50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Tuleja kołnierzowa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PVC-U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50 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wytrzymuje temperaturę do 60 stopni. 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12,00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9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Kołnierz dn50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Kształtka Kołnierz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PVC-U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 xml:space="preserve"> 50 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wytrzymuje ciśnienie 16 bar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12,00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10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Zasilanie prototypu- akumulator łączony szeregowo 2x12V ok 80 AH 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w technologii AGM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Zasilanie składające się z akumulatora 12 V 74 AH (+/- 1 ah) 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Prąd rozruchu akumulatora [A]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760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Długość [mm]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278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Szerokość [mm]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175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Wysokość [mm]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190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2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łączon</w:t>
            </w:r>
            <w:r w:rsidR="002E366A"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y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szeregowo z akumulatorem 12 v 6 Ah (+/- 1 ah)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3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11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E366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</w:t>
            </w:r>
            <w:r w:rsidR="00233BCA"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rzejście przez zbiornik dn50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3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hd w:val="clear" w:color="auto" w:fill="FFFFFF"/>
              </w:rPr>
              <w:t>Szczelne przejście przez zbiornik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, umożliwia szczelne połączenie rury </w:t>
            </w:r>
            <w:proofErr w:type="spellStart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</w:t>
            </w:r>
            <w:r w:rsidR="002E366A"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</w:t>
            </w:r>
            <w:proofErr w:type="spellEnd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50 po obu stronach ściany zbiornika.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3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Zestaw składa się z rury gwintowanej, dwóch uszczelek, dwóch nakrętek dociskających, oraz króćców umożliwiających połącz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</w:t>
            </w: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nie klejone z rurą </w:t>
            </w:r>
            <w:proofErr w:type="spellStart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dn</w:t>
            </w:r>
            <w:proofErr w:type="spellEnd"/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50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3"/>
              </w:numPr>
              <w:spacing w:after="0"/>
              <w:contextualSpacing w:val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lastRenderedPageBreak/>
              <w:t>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2,00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12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E366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Okablowanie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4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Kabel gumowy OW 5x1,5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metr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100,00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13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przekaźniki  24v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zasilanie 230V AC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prąd obciążenia  &lt;16A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styki 1P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kategoria użytkowania AC-7a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napięcie izolacji 400V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napięcie udarowe wytrzymywane zestyki - cewka 2,5kV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oddzielne obwody prądowe 3,6kV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przerwa zestykowa 1,2kV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stopień zanieczyszczenia 3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odporność na przepięcia 3kV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stopień ochrony IP20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czas zadziałania maks. 40ms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czas wyłączenia maks. 20ms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trwałość mechaniczna min. 5×106 cykli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wskaźnik zasilania LED zielona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pobór prądu 25mA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temperatura pracy -25÷50°C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przyłącze zaciski śrubowe 2,5mm²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wymiary 1 moduł (18mm)</w:t>
            </w:r>
          </w:p>
          <w:p w:rsidR="002E366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montaż na szynie 35mm</w:t>
            </w:r>
          </w:p>
          <w:p w:rsidR="00233BCA" w:rsidRPr="000A3B2F" w:rsidRDefault="00233BCA" w:rsidP="000A3B2F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10,00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14</w:t>
            </w:r>
          </w:p>
        </w:tc>
        <w:tc>
          <w:tcPr>
            <w:tcW w:w="3616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przejście przez zbiornik dn100</w:t>
            </w:r>
          </w:p>
          <w:p w:rsidR="002E366A" w:rsidRPr="000A3B2F" w:rsidRDefault="00233BCA" w:rsidP="000A3B2F">
            <w:pPr>
              <w:pStyle w:val="Akapitzlist"/>
              <w:numPr>
                <w:ilvl w:val="0"/>
                <w:numId w:val="14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przejście zapewniające szczelnie przejście przez ściankę zbiorn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ka o grubości ścianki zbiornika nie większej niż 5 mm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14"/>
              </w:numPr>
              <w:spacing w:after="0"/>
              <w:contextualSpacing w:val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2,00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15</w:t>
            </w:r>
          </w:p>
        </w:tc>
        <w:tc>
          <w:tcPr>
            <w:tcW w:w="3616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Modułowe komponenty programowalne z użyciem zdefiniowanych bl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ków funkcjonalnych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Redundantne modułowe komponenty programowalne z użyciem zdef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niowanych bloków funkcjonalnych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 szczególności posiadające następujące cechy: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modułową konstrukcję (AC/DC/przekaźnik, zintegrowane 8DI/6DO/2AI), jednostka centralna rozszerzana o dodatkowe wejścia i wyjścia,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moduły komunikacyjne i technologiczne,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wbudowane funkcje zoptymalizowane do regulacji oraz szybkie liczniki, zegary, telemetria,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oprogramowanie konfiguracyjno-programistyczne z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funkcjona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l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nościami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typu „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user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frendly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” 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zabezpieczenie danych oraz ochrona dostępu, kopiowania z p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ziomami dostępu,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wbudowana diagnostyka komunikaty diagnostyczne wyświetlane w dołączonym oprogramowaniu,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wbudowany  Web serwer,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dokumentacja techniczna w języku polskim,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Kompatybilny z 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Akumulator wód deszczowych o zmodernizowanym układzie hydraulicznym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16</w:t>
            </w:r>
          </w:p>
        </w:tc>
        <w:tc>
          <w:tcPr>
            <w:tcW w:w="3616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Graficzne elementy systemu wizualizacji procesu przemysłowego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•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Graficzne elementy systemu wizualizacji procesu przemysłowego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Elementy graficzne stanowią interfejs przemysłowy między maszyną lub procesem, a operatorem, który go obsługuje. Dzięki niemu osoba odp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wiedzialna za realizację zadań produkcyjnych może wpływać na przebieg procesu i go kontrolować.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kolorowy dotykowy wyświetlacz operatorski o przekątnej min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mum 4 cale,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konfiguracja za pomocą dedykowanego oprogramowania,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minimalna rozdzielczość  270x480,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minimum 65536 kolorów,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sprzętowe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złącza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usb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interfejs sprzętowy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ethernet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/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profinet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(rj45),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obsługa protokołu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ethernet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/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ip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,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modbus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,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tcp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/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ip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stopień ochrony części czołowej ip65,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użyteczna pamięć projektowa / pamięć użytkownika 10000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kb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klawiatura alfanumeryczna,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obsługą wiadomości/komunikatów z buforowaniem i potwie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r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dzaniem,  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</w:t>
            </w:r>
          </w:p>
        </w:tc>
      </w:tr>
      <w:tr w:rsidR="00233BCA" w:rsidRPr="000A3B2F" w:rsidTr="000A3B2F">
        <w:trPr>
          <w:trHeight w:val="300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17</w:t>
            </w:r>
          </w:p>
        </w:tc>
        <w:tc>
          <w:tcPr>
            <w:tcW w:w="3616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Akcesoria konfiguracji różnych typów urządzeń pomiarowych i wyk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nawczych o różnych standardach komunikacji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  <w:p w:rsidR="00233BCA" w:rsidRPr="000A3B2F" w:rsidRDefault="00233BCA" w:rsidP="000A3B2F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</w:rPr>
              <w:t>Akcesoria komunikacyjne pozwalają na przepływ informacji pomiędzy czujnikami, elementami wykonawczymi, sieciami lokalnymi i urządz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>e</w:t>
            </w:r>
            <w:r w:rsidRPr="000A3B2F">
              <w:rPr>
                <w:rFonts w:ascii="Times New Roman" w:hAnsi="Times New Roman" w:cs="Times New Roman"/>
                <w:color w:val="000000" w:themeColor="text1"/>
              </w:rPr>
              <w:t xml:space="preserve">niami sterującymi. 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0" w:firstLine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</w:rPr>
              <w:t>moduł wyjść analogowych ( 4 wyjścia napięciowe (+/-10v - 14 bitów) lub prądowe (0-20 ma - 13 bitów), napięcie zasilania: 24v dc, klasa szczelności: ip20) – 2 szt.,</w:t>
            </w:r>
          </w:p>
          <w:p w:rsidR="00233BCA" w:rsidRPr="000A3B2F" w:rsidRDefault="00233BCA" w:rsidP="000A3B2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0" w:firstLine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0A3B2F">
              <w:rPr>
                <w:rFonts w:ascii="Times New Roman" w:hAnsi="Times New Roman" w:cs="Times New Roman"/>
                <w:color w:val="000000" w:themeColor="text1"/>
              </w:rPr>
              <w:lastRenderedPageBreak/>
              <w:t>moduł wejść analogowych (4 wejścia analogowe napięciowe (+/-10v, +/-5v, +/-2.5v) lub prądowe (0-20 ma, 4-20ma) rozdzielczość : 13 bitów, napięcie zasilania: 24v dc, klasa szczelności: ip20) – 2 szt.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sztuka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</w:t>
            </w:r>
          </w:p>
        </w:tc>
      </w:tr>
      <w:tr w:rsidR="00233BCA" w:rsidRPr="000A3B2F" w:rsidTr="000A3B2F">
        <w:trPr>
          <w:trHeight w:val="2997"/>
        </w:trPr>
        <w:tc>
          <w:tcPr>
            <w:tcW w:w="269" w:type="pct"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lastRenderedPageBreak/>
              <w:t>18</w:t>
            </w:r>
          </w:p>
        </w:tc>
        <w:tc>
          <w:tcPr>
            <w:tcW w:w="3616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Specjalizowane okablowanie i złącza transmisyjne w standardach sieci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IoT</w:t>
            </w:r>
            <w:proofErr w:type="spellEnd"/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kabel </w:t>
            </w:r>
            <w:proofErr w:type="spellStart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ethernet</w:t>
            </w:r>
            <w:proofErr w:type="spellEnd"/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z możliwością doboru różnych długości,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kabel konfiguracyjny zgodny z komponentami programowaln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y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mi,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przełącznik symulacyjny wejść binarnych,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 xml:space="preserve">uniwersalny stelaż umożliwiający montaż podzespołów układów sterowania na szynie DIN, </w:t>
            </w:r>
          </w:p>
          <w:p w:rsidR="00233BCA" w:rsidRPr="000A3B2F" w:rsidRDefault="00233BCA" w:rsidP="000A3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o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ab/>
              <w:t>element elektromagnetyczny pozwalający konfigurować archite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</w:t>
            </w: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turę obwodu sterującego.  </w:t>
            </w:r>
          </w:p>
        </w:tc>
        <w:tc>
          <w:tcPr>
            <w:tcW w:w="693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komplet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233BCA" w:rsidRPr="000A3B2F" w:rsidRDefault="00233BCA" w:rsidP="000A3B2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0A3B2F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4</w:t>
            </w:r>
          </w:p>
        </w:tc>
      </w:tr>
    </w:tbl>
    <w:p w:rsidR="00777E22" w:rsidRPr="000A3B2F" w:rsidRDefault="00777E22" w:rsidP="000A3B2F">
      <w:pPr>
        <w:spacing w:after="0"/>
        <w:rPr>
          <w:rFonts w:ascii="Times New Roman" w:hAnsi="Times New Roman" w:cs="Times New Roman"/>
          <w:color w:val="000000" w:themeColor="text1"/>
        </w:rPr>
      </w:pPr>
    </w:p>
    <w:sectPr w:rsidR="00777E22" w:rsidRPr="000A3B2F" w:rsidSect="009768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2D9" w:rsidRDefault="001B22D9" w:rsidP="000A3B2F">
      <w:pPr>
        <w:spacing w:after="0" w:line="240" w:lineRule="auto"/>
      </w:pPr>
      <w:r>
        <w:separator/>
      </w:r>
    </w:p>
  </w:endnote>
  <w:endnote w:type="continuationSeparator" w:id="0">
    <w:p w:rsidR="001B22D9" w:rsidRDefault="001B22D9" w:rsidP="000A3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B2F" w:rsidRDefault="000A3B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B2F" w:rsidRDefault="000A3B2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B2F" w:rsidRDefault="000A3B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2D9" w:rsidRDefault="001B22D9" w:rsidP="000A3B2F">
      <w:pPr>
        <w:spacing w:after="0" w:line="240" w:lineRule="auto"/>
      </w:pPr>
      <w:r>
        <w:separator/>
      </w:r>
    </w:p>
  </w:footnote>
  <w:footnote w:type="continuationSeparator" w:id="0">
    <w:p w:rsidR="001B22D9" w:rsidRDefault="001B22D9" w:rsidP="000A3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B2F" w:rsidRDefault="000A3B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B2F" w:rsidRDefault="000A3B2F">
    <w:pPr>
      <w:pStyle w:val="Nagwek"/>
    </w:pPr>
    <w:r>
      <w:rPr>
        <w:noProof/>
        <w:lang w:eastAsia="pl-PL"/>
      </w:rPr>
      <w:drawing>
        <wp:inline distT="0" distB="0" distL="0" distR="0">
          <wp:extent cx="5760720" cy="495300"/>
          <wp:effectExtent l="19050" t="0" r="0" b="0"/>
          <wp:docPr id="1" name="Obraz 0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3B2F" w:rsidRDefault="000A3B2F">
    <w:pPr>
      <w:pStyle w:val="Nagwek"/>
    </w:pPr>
  </w:p>
  <w:p w:rsidR="000A3B2F" w:rsidRPr="000A3B2F" w:rsidRDefault="000A3B2F" w:rsidP="000A3B2F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:rsidR="000A3B2F" w:rsidRPr="000A3B2F" w:rsidRDefault="000A3B2F" w:rsidP="000A3B2F">
    <w:pPr>
      <w:pStyle w:val="Nagwek"/>
      <w:spacing w:before="60" w:after="60" w:line="276" w:lineRule="auto"/>
      <w:jc w:val="both"/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2 -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.22.004 - N3_012 Peptydy antybakteryjne jako nowoczesne konserwanty żywności;</w:t>
    </w:r>
  </w:p>
  <w:p w:rsidR="000A3B2F" w:rsidRPr="000A3B2F" w:rsidRDefault="000A3B2F" w:rsidP="000A3B2F">
    <w:pPr>
      <w:pStyle w:val="Nagwek"/>
      <w:spacing w:before="60" w:after="48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3 -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.22.003 - PCI N3_554 Peptydy penetrujące komórki (CPP) zaprojektowane na bazie białek jadu kobry;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B2F" w:rsidRDefault="000A3B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5021D"/>
    <w:multiLevelType w:val="hybridMultilevel"/>
    <w:tmpl w:val="5A7E0D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81BD8"/>
    <w:multiLevelType w:val="hybridMultilevel"/>
    <w:tmpl w:val="EEE69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719BB"/>
    <w:multiLevelType w:val="hybridMultilevel"/>
    <w:tmpl w:val="2C7AA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F8258A"/>
    <w:multiLevelType w:val="hybridMultilevel"/>
    <w:tmpl w:val="B6AC5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A84546"/>
    <w:multiLevelType w:val="multilevel"/>
    <w:tmpl w:val="AC40B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A3E81"/>
    <w:multiLevelType w:val="hybridMultilevel"/>
    <w:tmpl w:val="1716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E33697"/>
    <w:multiLevelType w:val="hybridMultilevel"/>
    <w:tmpl w:val="1602A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237F36"/>
    <w:multiLevelType w:val="hybridMultilevel"/>
    <w:tmpl w:val="BEE6F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CA444B"/>
    <w:multiLevelType w:val="hybridMultilevel"/>
    <w:tmpl w:val="00949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6C7981"/>
    <w:multiLevelType w:val="hybridMultilevel"/>
    <w:tmpl w:val="26BC7C02"/>
    <w:lvl w:ilvl="0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10">
    <w:nsid w:val="58377293"/>
    <w:multiLevelType w:val="hybridMultilevel"/>
    <w:tmpl w:val="789EE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F2481F"/>
    <w:multiLevelType w:val="hybridMultilevel"/>
    <w:tmpl w:val="3BE8C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733A7F"/>
    <w:multiLevelType w:val="hybridMultilevel"/>
    <w:tmpl w:val="47004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A62257"/>
    <w:multiLevelType w:val="multilevel"/>
    <w:tmpl w:val="2A58BA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D805E3"/>
    <w:multiLevelType w:val="hybridMultilevel"/>
    <w:tmpl w:val="04765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A076F3"/>
    <w:multiLevelType w:val="multilevel"/>
    <w:tmpl w:val="3D926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14"/>
  </w:num>
  <w:num w:numId="4">
    <w:abstractNumId w:val="12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11"/>
  </w:num>
  <w:num w:numId="10">
    <w:abstractNumId w:val="10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15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75BC3"/>
    <w:rsid w:val="000334CA"/>
    <w:rsid w:val="000A3B2F"/>
    <w:rsid w:val="001365FD"/>
    <w:rsid w:val="001B22D9"/>
    <w:rsid w:val="001B4A4D"/>
    <w:rsid w:val="001F4135"/>
    <w:rsid w:val="00203990"/>
    <w:rsid w:val="00233BCA"/>
    <w:rsid w:val="002E366A"/>
    <w:rsid w:val="002F2139"/>
    <w:rsid w:val="00312A06"/>
    <w:rsid w:val="00706FDE"/>
    <w:rsid w:val="00777E22"/>
    <w:rsid w:val="007A3937"/>
    <w:rsid w:val="00817402"/>
    <w:rsid w:val="008B28C8"/>
    <w:rsid w:val="009207B3"/>
    <w:rsid w:val="00956721"/>
    <w:rsid w:val="00976874"/>
    <w:rsid w:val="009A5462"/>
    <w:rsid w:val="00AF26F1"/>
    <w:rsid w:val="00B130DC"/>
    <w:rsid w:val="00B77708"/>
    <w:rsid w:val="00BF7BCA"/>
    <w:rsid w:val="00F75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A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5B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130DC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9207B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77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77708"/>
    <w:pPr>
      <w:spacing w:before="120" w:after="12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7770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7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3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B2F"/>
  </w:style>
  <w:style w:type="paragraph" w:styleId="Stopka">
    <w:name w:val="footer"/>
    <w:basedOn w:val="Normalny"/>
    <w:link w:val="StopkaZnak"/>
    <w:uiPriority w:val="99"/>
    <w:semiHidden/>
    <w:unhideWhenUsed/>
    <w:rsid w:val="000A3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3B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botland.com.pl/321-czujniki-wilgotnosc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m.pekala</cp:lastModifiedBy>
  <cp:revision>4</cp:revision>
  <dcterms:created xsi:type="dcterms:W3CDTF">2022-05-05T10:58:00Z</dcterms:created>
  <dcterms:modified xsi:type="dcterms:W3CDTF">2022-05-05T11:28:00Z</dcterms:modified>
</cp:coreProperties>
</file>