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397A4F" w14:textId="77777777" w:rsidR="00D734EF" w:rsidRDefault="00D734EF" w:rsidP="00D734EF">
      <w:pPr>
        <w:ind w:left="1985" w:hanging="1559"/>
        <w:rPr>
          <w:rFonts w:ascii="Times New Roman" w:hAnsi="Times New Roman"/>
          <w:sz w:val="24"/>
          <w:szCs w:val="24"/>
          <w:u w:val="single"/>
        </w:rPr>
      </w:pPr>
      <w:r>
        <w:rPr>
          <w:rFonts w:ascii="Times New Roman" w:hAnsi="Times New Roman"/>
          <w:b/>
          <w:sz w:val="24"/>
          <w:szCs w:val="24"/>
          <w:u w:val="single"/>
        </w:rPr>
        <w:t>TEMAT:</w:t>
      </w:r>
      <w:r>
        <w:rPr>
          <w:rFonts w:ascii="Times New Roman" w:hAnsi="Times New Roman"/>
          <w:sz w:val="24"/>
          <w:szCs w:val="24"/>
        </w:rPr>
        <w:tab/>
      </w:r>
      <w:r>
        <w:rPr>
          <w:rFonts w:ascii="Garamond" w:hAnsi="Garamond" w:cs="Calibri"/>
          <w:b/>
          <w:bCs/>
        </w:rPr>
        <w:t xml:space="preserve">INTEGRACJA APTEK SZPITALNYCH W CENTRALNĄ APTEKĘ SZPITALNĄ </w:t>
      </w:r>
      <w:r>
        <w:rPr>
          <w:rFonts w:ascii="Garamond" w:hAnsi="Garamond" w:cs="Calibri"/>
          <w:b/>
          <w:bCs/>
        </w:rPr>
        <w:br/>
        <w:t>I PROCESU ZAOPATRZENIA W ASOTYMENT APTECZNY W SZPITALU WOJEWÓDZKIN W POZNANIU</w:t>
      </w:r>
    </w:p>
    <w:p w14:paraId="7A15EA7C" w14:textId="77777777" w:rsidR="00D734EF" w:rsidRDefault="00D734EF" w:rsidP="00D734EF">
      <w:pPr>
        <w:tabs>
          <w:tab w:val="left" w:pos="975"/>
        </w:tabs>
        <w:rPr>
          <w:rFonts w:ascii="Times New Roman" w:hAnsi="Times New Roman"/>
          <w:sz w:val="12"/>
          <w:szCs w:val="12"/>
        </w:rPr>
      </w:pPr>
    </w:p>
    <w:p w14:paraId="35D18352" w14:textId="77777777" w:rsidR="00D734EF" w:rsidRDefault="00D734EF" w:rsidP="00D734EF">
      <w:pPr>
        <w:ind w:firstLine="284"/>
        <w:rPr>
          <w:rFonts w:ascii="Times New Roman" w:hAnsi="Times New Roman"/>
          <w:sz w:val="24"/>
          <w:szCs w:val="24"/>
        </w:rPr>
      </w:pPr>
      <w:r>
        <w:rPr>
          <w:rFonts w:ascii="Times New Roman" w:hAnsi="Times New Roman"/>
          <w:sz w:val="24"/>
          <w:szCs w:val="24"/>
        </w:rPr>
        <w:t xml:space="preserve">Uzupełnienie </w:t>
      </w:r>
      <w:r>
        <w:rPr>
          <w:rFonts w:ascii="Times New Roman" w:hAnsi="Times New Roman"/>
          <w:b/>
          <w:bCs/>
          <w:sz w:val="24"/>
          <w:szCs w:val="24"/>
        </w:rPr>
        <w:t>OPISU PRZEDMIOTU ZAMÓWNIENIA</w:t>
      </w:r>
      <w:r>
        <w:rPr>
          <w:rFonts w:ascii="Times New Roman" w:hAnsi="Times New Roman"/>
          <w:sz w:val="24"/>
          <w:szCs w:val="24"/>
        </w:rPr>
        <w:t xml:space="preserve"> o dodanie następującej treści :</w:t>
      </w:r>
    </w:p>
    <w:p w14:paraId="41A7A666" w14:textId="77777777" w:rsidR="00D734EF" w:rsidRDefault="00D734EF" w:rsidP="00D734EF">
      <w:pPr>
        <w:numPr>
          <w:ilvl w:val="0"/>
          <w:numId w:val="1"/>
        </w:numPr>
        <w:rPr>
          <w:rFonts w:ascii="Times New Roman" w:hAnsi="Times New Roman"/>
          <w:b/>
          <w:bCs/>
          <w:sz w:val="24"/>
          <w:szCs w:val="24"/>
        </w:rPr>
      </w:pPr>
      <w:r>
        <w:rPr>
          <w:rFonts w:ascii="Times New Roman" w:hAnsi="Times New Roman"/>
          <w:b/>
          <w:bCs/>
          <w:sz w:val="24"/>
          <w:szCs w:val="24"/>
        </w:rPr>
        <w:t>W piwnicy (poziom -1) w obrębie całej Apteki Szpitalnej należy wykonać natrysk stropów w celu zwiększenia odporności ogniowej na powierzchni 500 m2. Do tego celu należy użyć:</w:t>
      </w:r>
    </w:p>
    <w:p w14:paraId="57A76714" w14:textId="77777777" w:rsidR="00D734EF" w:rsidRDefault="00D734EF" w:rsidP="00D734EF">
      <w:pPr>
        <w:numPr>
          <w:ilvl w:val="0"/>
          <w:numId w:val="2"/>
        </w:num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Nazwa wyrobu</w:t>
      </w:r>
      <w:r>
        <w:rPr>
          <w:rFonts w:ascii="Times New Roman" w:eastAsia="Times New Roman" w:hAnsi="Times New Roman"/>
          <w:sz w:val="24"/>
          <w:szCs w:val="24"/>
          <w:lang w:eastAsia="pl-PL"/>
        </w:rPr>
        <w:t>: Zaprawa przeznaczona do zabezpieczenia ognioodpornego elementów budowlanych</w:t>
      </w:r>
    </w:p>
    <w:p w14:paraId="4C2A43CE" w14:textId="77777777" w:rsidR="00D734EF" w:rsidRDefault="00D734EF" w:rsidP="00D734EF">
      <w:pPr>
        <w:numPr>
          <w:ilvl w:val="0"/>
          <w:numId w:val="2"/>
        </w:num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Nazwa handlowa</w:t>
      </w:r>
      <w:r>
        <w:rPr>
          <w:rFonts w:ascii="Times New Roman" w:eastAsia="Times New Roman" w:hAnsi="Times New Roman"/>
          <w:sz w:val="24"/>
          <w:szCs w:val="24"/>
          <w:lang w:eastAsia="pl-PL"/>
        </w:rPr>
        <w:t xml:space="preserve">: </w:t>
      </w:r>
      <w:proofErr w:type="spellStart"/>
      <w:r>
        <w:rPr>
          <w:rFonts w:ascii="Times New Roman" w:eastAsia="Times New Roman" w:hAnsi="Times New Roman"/>
          <w:sz w:val="24"/>
          <w:szCs w:val="24"/>
          <w:lang w:eastAsia="pl-PL"/>
        </w:rPr>
        <w:t>Perlifoc</w:t>
      </w:r>
      <w:proofErr w:type="spellEnd"/>
      <w:r>
        <w:rPr>
          <w:rFonts w:ascii="Times New Roman" w:eastAsia="Times New Roman" w:hAnsi="Times New Roman"/>
          <w:sz w:val="24"/>
          <w:szCs w:val="24"/>
          <w:lang w:eastAsia="pl-PL"/>
        </w:rPr>
        <w:t xml:space="preserve"> HP</w:t>
      </w:r>
    </w:p>
    <w:p w14:paraId="0C781200" w14:textId="77777777" w:rsidR="00D734EF" w:rsidRDefault="00D734EF" w:rsidP="00D734EF">
      <w:pPr>
        <w:numPr>
          <w:ilvl w:val="0"/>
          <w:numId w:val="2"/>
        </w:num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TYP</w:t>
      </w:r>
      <w:r>
        <w:rPr>
          <w:rFonts w:ascii="Times New Roman" w:eastAsia="Times New Roman" w:hAnsi="Times New Roman"/>
          <w:sz w:val="24"/>
          <w:szCs w:val="24"/>
          <w:lang w:eastAsia="pl-PL"/>
        </w:rPr>
        <w:t>: R-15, R-30, R-45, R-60, R-90, R-120, R-180, R-240</w:t>
      </w:r>
    </w:p>
    <w:p w14:paraId="75574D82" w14:textId="77777777" w:rsidR="00D734EF" w:rsidRDefault="00D734EF" w:rsidP="00D734EF">
      <w:pPr>
        <w:numPr>
          <w:ilvl w:val="0"/>
          <w:numId w:val="2"/>
        </w:num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Producent</w:t>
      </w:r>
      <w:r>
        <w:rPr>
          <w:rFonts w:ascii="Times New Roman" w:eastAsia="Times New Roman" w:hAnsi="Times New Roman"/>
          <w:sz w:val="24"/>
          <w:szCs w:val="24"/>
          <w:lang w:eastAsia="pl-PL"/>
        </w:rPr>
        <w:t xml:space="preserve">: </w:t>
      </w:r>
      <w:proofErr w:type="spellStart"/>
      <w:r>
        <w:rPr>
          <w:rFonts w:ascii="Times New Roman" w:eastAsia="Times New Roman" w:hAnsi="Times New Roman"/>
          <w:sz w:val="24"/>
          <w:szCs w:val="24"/>
          <w:lang w:eastAsia="pl-PL"/>
        </w:rPr>
        <w:t>Perlita</w:t>
      </w:r>
      <w:proofErr w:type="spellEnd"/>
      <w:r>
        <w:rPr>
          <w:rFonts w:ascii="Times New Roman" w:eastAsia="Times New Roman" w:hAnsi="Times New Roman"/>
          <w:sz w:val="24"/>
          <w:szCs w:val="24"/>
          <w:lang w:eastAsia="pl-PL"/>
        </w:rPr>
        <w:t xml:space="preserve"> y VERMICULITA S.L.U . C/JOSEPH IRLA i BOSCH n5-7</w:t>
      </w:r>
    </w:p>
    <w:p w14:paraId="31456751" w14:textId="77777777" w:rsidR="00D734EF" w:rsidRDefault="00D734EF" w:rsidP="00D734EF">
      <w:pPr>
        <w:ind w:left="426"/>
        <w:rPr>
          <w:rFonts w:ascii="Times New Roman" w:hAnsi="Times New Roman"/>
          <w:b/>
          <w:bCs/>
          <w:sz w:val="24"/>
          <w:szCs w:val="24"/>
        </w:rPr>
      </w:pPr>
      <w:r>
        <w:rPr>
          <w:rFonts w:ascii="Times New Roman" w:hAnsi="Times New Roman"/>
          <w:b/>
          <w:bCs/>
          <w:sz w:val="24"/>
          <w:szCs w:val="24"/>
        </w:rPr>
        <w:t>2. Na parterze oraz w piwnicy (poziom -1) w obrębie Apteki Szpitalnej wykonać prace związane z ułożeniem okablowania poniżej wymienionych przewodów:</w:t>
      </w:r>
    </w:p>
    <w:p w14:paraId="4E996844" w14:textId="77777777" w:rsidR="00D734EF" w:rsidRDefault="00D734EF" w:rsidP="00D734EF">
      <w:pPr>
        <w:pStyle w:val="Nagwek1"/>
        <w:shd w:val="clear" w:color="auto" w:fill="FFFFFF"/>
        <w:spacing w:before="0" w:beforeAutospacing="0" w:after="0" w:afterAutospacing="0"/>
        <w:ind w:left="709"/>
        <w:rPr>
          <w:sz w:val="24"/>
          <w:szCs w:val="24"/>
        </w:rPr>
      </w:pPr>
      <w:r>
        <w:rPr>
          <w:sz w:val="24"/>
          <w:szCs w:val="24"/>
        </w:rPr>
        <w:t>- Dźwiękowego Systemu Ostrzegania (DSO) –</w:t>
      </w:r>
    </w:p>
    <w:p w14:paraId="6E41CA5F" w14:textId="77777777" w:rsidR="00D734EF" w:rsidRDefault="00D734EF" w:rsidP="00D734EF">
      <w:pPr>
        <w:pStyle w:val="Nagwek1"/>
        <w:shd w:val="clear" w:color="auto" w:fill="FFFFFF"/>
        <w:spacing w:before="0" w:beforeAutospacing="0" w:after="0" w:afterAutospacing="0"/>
        <w:ind w:left="709"/>
        <w:rPr>
          <w:sz w:val="24"/>
          <w:szCs w:val="24"/>
        </w:rPr>
      </w:pPr>
      <w:r>
        <w:rPr>
          <w:rFonts w:eastAsia="Calibri"/>
          <w:b w:val="0"/>
          <w:bCs w:val="0"/>
          <w:kern w:val="0"/>
          <w:sz w:val="24"/>
          <w:szCs w:val="24"/>
          <w:lang w:eastAsia="en-US"/>
        </w:rPr>
        <w:t xml:space="preserve">przewód </w:t>
      </w:r>
      <w:proofErr w:type="spellStart"/>
      <w:r>
        <w:rPr>
          <w:rFonts w:eastAsia="Calibri"/>
          <w:b w:val="0"/>
          <w:bCs w:val="0"/>
          <w:kern w:val="0"/>
          <w:sz w:val="24"/>
          <w:szCs w:val="24"/>
          <w:lang w:eastAsia="en-US"/>
        </w:rPr>
        <w:t>bezhalogenowy</w:t>
      </w:r>
      <w:proofErr w:type="spellEnd"/>
      <w:r>
        <w:rPr>
          <w:rFonts w:eastAsia="Calibri"/>
          <w:b w:val="0"/>
          <w:bCs w:val="0"/>
          <w:kern w:val="0"/>
          <w:sz w:val="24"/>
          <w:szCs w:val="24"/>
          <w:lang w:eastAsia="en-US"/>
        </w:rPr>
        <w:t xml:space="preserve"> ekranowany </w:t>
      </w:r>
      <w:proofErr w:type="spellStart"/>
      <w:r>
        <w:rPr>
          <w:sz w:val="24"/>
          <w:szCs w:val="24"/>
        </w:rPr>
        <w:t>HTKSAekw</w:t>
      </w:r>
      <w:proofErr w:type="spellEnd"/>
      <w:r>
        <w:rPr>
          <w:sz w:val="24"/>
          <w:szCs w:val="24"/>
        </w:rPr>
        <w:t xml:space="preserve"> 1x2x1,4MM PH90 – o długości  500 m</w:t>
      </w:r>
    </w:p>
    <w:p w14:paraId="6CFD9E43" w14:textId="77777777" w:rsidR="00D734EF" w:rsidRDefault="00D734EF" w:rsidP="00D734EF">
      <w:pPr>
        <w:pStyle w:val="Nagwek1"/>
        <w:shd w:val="clear" w:color="auto" w:fill="FFFFFF"/>
        <w:spacing w:before="0" w:beforeAutospacing="0" w:after="0" w:afterAutospacing="0"/>
        <w:ind w:left="709"/>
        <w:rPr>
          <w:sz w:val="12"/>
          <w:szCs w:val="12"/>
        </w:rPr>
      </w:pPr>
    </w:p>
    <w:p w14:paraId="58AD6501" w14:textId="77777777" w:rsidR="00D734EF" w:rsidRDefault="00D734EF" w:rsidP="00D734EF">
      <w:pPr>
        <w:pStyle w:val="Nagwek1"/>
        <w:shd w:val="clear" w:color="auto" w:fill="FFFFFF"/>
        <w:spacing w:before="0" w:beforeAutospacing="0" w:after="0" w:afterAutospacing="0"/>
        <w:ind w:left="709"/>
        <w:jc w:val="both"/>
        <w:rPr>
          <w:rFonts w:eastAsia="Calibri"/>
          <w:b w:val="0"/>
          <w:bCs w:val="0"/>
          <w:kern w:val="0"/>
          <w:sz w:val="20"/>
          <w:szCs w:val="20"/>
          <w:lang w:eastAsia="en-US"/>
        </w:rPr>
      </w:pPr>
      <w:r>
        <w:rPr>
          <w:rFonts w:eastAsia="Calibri"/>
          <w:b w:val="0"/>
          <w:bCs w:val="0"/>
          <w:kern w:val="0"/>
          <w:sz w:val="20"/>
          <w:szCs w:val="20"/>
          <w:lang w:eastAsia="en-US"/>
        </w:rPr>
        <w:t xml:space="preserve">Przewody elektroenergetyczne ognioodporne i </w:t>
      </w:r>
      <w:proofErr w:type="spellStart"/>
      <w:r>
        <w:rPr>
          <w:rFonts w:eastAsia="Calibri"/>
          <w:b w:val="0"/>
          <w:bCs w:val="0"/>
          <w:kern w:val="0"/>
          <w:sz w:val="20"/>
          <w:szCs w:val="20"/>
          <w:lang w:eastAsia="en-US"/>
        </w:rPr>
        <w:t>bezhalogenowe</w:t>
      </w:r>
      <w:proofErr w:type="spellEnd"/>
      <w:r>
        <w:rPr>
          <w:rFonts w:eastAsia="Calibri"/>
          <w:b w:val="0"/>
          <w:bCs w:val="0"/>
          <w:kern w:val="0"/>
          <w:sz w:val="20"/>
          <w:szCs w:val="20"/>
          <w:lang w:eastAsia="en-US"/>
        </w:rPr>
        <w:t xml:space="preserve"> przeznaczone są do zasilania instalacji w obiektach o podwyższonych wymaganiach przeciwpożarowych.</w:t>
      </w:r>
    </w:p>
    <w:p w14:paraId="0F08AA2A" w14:textId="77777777" w:rsidR="00D734EF" w:rsidRDefault="00D734EF" w:rsidP="00D734EF">
      <w:pPr>
        <w:pStyle w:val="Nagwek1"/>
        <w:shd w:val="clear" w:color="auto" w:fill="FFFFFF"/>
        <w:spacing w:before="0" w:beforeAutospacing="0" w:after="0" w:afterAutospacing="0"/>
        <w:ind w:left="709"/>
        <w:jc w:val="both"/>
        <w:rPr>
          <w:rFonts w:eastAsia="Calibri"/>
          <w:b w:val="0"/>
          <w:bCs w:val="0"/>
          <w:kern w:val="0"/>
          <w:sz w:val="20"/>
          <w:szCs w:val="20"/>
          <w:lang w:eastAsia="en-US"/>
        </w:rPr>
      </w:pPr>
      <w:r>
        <w:rPr>
          <w:rFonts w:eastAsia="Calibri"/>
          <w:b w:val="0"/>
          <w:bCs w:val="0"/>
          <w:kern w:val="0"/>
          <w:sz w:val="20"/>
          <w:szCs w:val="20"/>
          <w:lang w:eastAsia="en-US"/>
        </w:rPr>
        <w:t>Ich specjalna budowa zapewnia dopływ energii elektrycznej do urządzeń, których działanie jest niezbędne podczas pożaru oraz jego gaszenia. Kable nie rozprzestrzeniają płomienia, emisja dymu jest bardzo niska, a emitowane gazy są nietoksyczne i niekorozyjne.</w:t>
      </w:r>
    </w:p>
    <w:p w14:paraId="5A74B5B8" w14:textId="77777777" w:rsidR="00D734EF" w:rsidRDefault="00D734EF" w:rsidP="00D734EF">
      <w:pPr>
        <w:pStyle w:val="Nagwek1"/>
        <w:shd w:val="clear" w:color="auto" w:fill="FFFFFF"/>
        <w:spacing w:before="0" w:beforeAutospacing="0" w:after="0" w:afterAutospacing="0"/>
        <w:ind w:left="709"/>
        <w:jc w:val="both"/>
        <w:rPr>
          <w:rFonts w:eastAsia="Calibri"/>
          <w:b w:val="0"/>
          <w:bCs w:val="0"/>
          <w:kern w:val="0"/>
          <w:sz w:val="20"/>
          <w:szCs w:val="20"/>
          <w:lang w:eastAsia="en-US"/>
        </w:rPr>
      </w:pPr>
      <w:r>
        <w:rPr>
          <w:rFonts w:eastAsia="Calibri"/>
          <w:b w:val="0"/>
          <w:bCs w:val="0"/>
          <w:kern w:val="0"/>
          <w:sz w:val="20"/>
          <w:szCs w:val="20"/>
          <w:lang w:eastAsia="en-US"/>
        </w:rPr>
        <w:t>Przewody wykorzystywane są w:</w:t>
      </w:r>
    </w:p>
    <w:p w14:paraId="4A6C30FB" w14:textId="77777777" w:rsidR="00D734EF" w:rsidRDefault="00D734EF" w:rsidP="00D734EF">
      <w:pPr>
        <w:pStyle w:val="Nagwek1"/>
        <w:shd w:val="clear" w:color="auto" w:fill="FFFFFF"/>
        <w:spacing w:before="0" w:beforeAutospacing="0" w:after="0" w:afterAutospacing="0"/>
        <w:ind w:left="709"/>
        <w:jc w:val="both"/>
        <w:rPr>
          <w:rFonts w:eastAsia="Calibri"/>
          <w:b w:val="0"/>
          <w:bCs w:val="0"/>
          <w:kern w:val="0"/>
          <w:sz w:val="20"/>
          <w:szCs w:val="20"/>
          <w:lang w:eastAsia="en-US"/>
        </w:rPr>
      </w:pPr>
      <w:r>
        <w:rPr>
          <w:rFonts w:eastAsia="Calibri"/>
          <w:b w:val="0"/>
          <w:bCs w:val="0"/>
          <w:kern w:val="0"/>
          <w:sz w:val="20"/>
          <w:szCs w:val="20"/>
          <w:lang w:eastAsia="en-US"/>
        </w:rPr>
        <w:t>- Instalacjach oświetlenia awaryjnego</w:t>
      </w:r>
    </w:p>
    <w:p w14:paraId="339FDE8F" w14:textId="77777777" w:rsidR="00D734EF" w:rsidRDefault="00D734EF" w:rsidP="00D734EF">
      <w:pPr>
        <w:pStyle w:val="Nagwek1"/>
        <w:shd w:val="clear" w:color="auto" w:fill="FFFFFF"/>
        <w:spacing w:before="0" w:beforeAutospacing="0" w:after="0" w:afterAutospacing="0"/>
        <w:ind w:left="709"/>
        <w:jc w:val="both"/>
        <w:rPr>
          <w:rFonts w:eastAsia="Calibri"/>
          <w:b w:val="0"/>
          <w:bCs w:val="0"/>
          <w:kern w:val="0"/>
          <w:sz w:val="20"/>
          <w:szCs w:val="20"/>
          <w:lang w:eastAsia="en-US"/>
        </w:rPr>
      </w:pPr>
      <w:r>
        <w:rPr>
          <w:rFonts w:eastAsia="Calibri"/>
          <w:b w:val="0"/>
          <w:bCs w:val="0"/>
          <w:kern w:val="0"/>
          <w:sz w:val="20"/>
          <w:szCs w:val="20"/>
          <w:lang w:eastAsia="en-US"/>
        </w:rPr>
        <w:t>- Systemach oddymiana i bezpieczeństwa pożarowego</w:t>
      </w:r>
    </w:p>
    <w:p w14:paraId="1729D178" w14:textId="77777777" w:rsidR="00D734EF" w:rsidRDefault="00D734EF" w:rsidP="00D734EF">
      <w:pPr>
        <w:pStyle w:val="Nagwek1"/>
        <w:shd w:val="clear" w:color="auto" w:fill="FFFFFF"/>
        <w:spacing w:before="0" w:beforeAutospacing="0" w:after="0" w:afterAutospacing="0"/>
        <w:ind w:left="709"/>
        <w:jc w:val="both"/>
        <w:rPr>
          <w:rFonts w:eastAsia="Calibri"/>
          <w:b w:val="0"/>
          <w:bCs w:val="0"/>
          <w:kern w:val="0"/>
          <w:sz w:val="20"/>
          <w:szCs w:val="20"/>
          <w:lang w:eastAsia="en-US"/>
        </w:rPr>
      </w:pPr>
      <w:r>
        <w:rPr>
          <w:rFonts w:eastAsia="Calibri"/>
          <w:b w:val="0"/>
          <w:bCs w:val="0"/>
          <w:kern w:val="0"/>
          <w:sz w:val="20"/>
          <w:szCs w:val="20"/>
          <w:lang w:eastAsia="en-US"/>
        </w:rPr>
        <w:t>- Systemach alarmowych, sygnalizacyjnych, kontrolnych, DSO</w:t>
      </w:r>
    </w:p>
    <w:p w14:paraId="3A55A0F1" w14:textId="77777777" w:rsidR="00D734EF" w:rsidRDefault="00D734EF" w:rsidP="00D734EF">
      <w:pPr>
        <w:pStyle w:val="Nagwek1"/>
        <w:shd w:val="clear" w:color="auto" w:fill="FFFFFF"/>
        <w:spacing w:before="0" w:beforeAutospacing="0" w:after="0" w:afterAutospacing="0"/>
        <w:ind w:left="709"/>
        <w:jc w:val="both"/>
        <w:rPr>
          <w:rFonts w:eastAsia="Calibri"/>
          <w:b w:val="0"/>
          <w:bCs w:val="0"/>
          <w:kern w:val="0"/>
          <w:sz w:val="20"/>
          <w:szCs w:val="20"/>
          <w:lang w:eastAsia="en-US"/>
        </w:rPr>
      </w:pPr>
      <w:r>
        <w:rPr>
          <w:rFonts w:eastAsia="Calibri"/>
          <w:b w:val="0"/>
          <w:bCs w:val="0"/>
          <w:kern w:val="0"/>
          <w:sz w:val="20"/>
          <w:szCs w:val="20"/>
          <w:lang w:eastAsia="en-US"/>
        </w:rPr>
        <w:t>- Innych urządzeniach przeciwpożarowych, których działanie przewidziane jest w warunkach pożaru.</w:t>
      </w:r>
    </w:p>
    <w:p w14:paraId="020C07CF" w14:textId="77777777" w:rsidR="00D734EF" w:rsidRDefault="00D734EF" w:rsidP="00D734EF">
      <w:pPr>
        <w:pStyle w:val="Nagwek1"/>
        <w:shd w:val="clear" w:color="auto" w:fill="FFFFFF"/>
        <w:spacing w:before="0" w:beforeAutospacing="0" w:after="0" w:afterAutospacing="0"/>
        <w:ind w:left="709"/>
        <w:jc w:val="both"/>
        <w:rPr>
          <w:rFonts w:eastAsia="Calibri"/>
          <w:kern w:val="0"/>
          <w:sz w:val="20"/>
          <w:szCs w:val="20"/>
          <w:lang w:eastAsia="en-US"/>
        </w:rPr>
      </w:pPr>
      <w:r>
        <w:rPr>
          <w:rFonts w:eastAsia="Calibri"/>
          <w:kern w:val="0"/>
          <w:sz w:val="20"/>
          <w:szCs w:val="20"/>
          <w:lang w:eastAsia="en-US"/>
        </w:rPr>
        <w:t>Przewody sygnalizacyjne ognioodporne stosowane są w instalacjach p.poż. zgodnie z rozporządzeniem ministra infrastruktury z dnia 12.04.2002r.</w:t>
      </w:r>
    </w:p>
    <w:p w14:paraId="229443E7" w14:textId="77777777" w:rsidR="00D734EF" w:rsidRDefault="00D734EF" w:rsidP="00D734EF">
      <w:pPr>
        <w:pStyle w:val="Nagwek1"/>
        <w:shd w:val="clear" w:color="auto" w:fill="FFFFFF"/>
        <w:spacing w:before="0" w:beforeAutospacing="0" w:after="0" w:afterAutospacing="0"/>
        <w:ind w:left="709"/>
        <w:rPr>
          <w:rFonts w:eastAsia="Calibri"/>
          <w:kern w:val="0"/>
          <w:sz w:val="20"/>
          <w:szCs w:val="20"/>
          <w:lang w:eastAsia="en-US"/>
        </w:rPr>
      </w:pPr>
    </w:p>
    <w:p w14:paraId="2CFDB523" w14:textId="77777777" w:rsidR="00D734EF" w:rsidRDefault="00D734EF" w:rsidP="00D734EF">
      <w:pPr>
        <w:pStyle w:val="Nagwek1"/>
        <w:shd w:val="clear" w:color="auto" w:fill="FFFFFF"/>
        <w:spacing w:before="0" w:beforeAutospacing="0" w:after="0" w:afterAutospacing="0"/>
        <w:ind w:left="709"/>
        <w:rPr>
          <w:sz w:val="24"/>
          <w:szCs w:val="24"/>
        </w:rPr>
      </w:pPr>
      <w:r>
        <w:rPr>
          <w:sz w:val="24"/>
          <w:szCs w:val="24"/>
        </w:rPr>
        <w:t>- System Sygnalizacji Pożarowej (SSO) –</w:t>
      </w:r>
    </w:p>
    <w:p w14:paraId="1C1ABD62" w14:textId="77777777" w:rsidR="00D734EF" w:rsidRDefault="00D734EF" w:rsidP="00D734EF">
      <w:pPr>
        <w:pStyle w:val="Nagwek1"/>
        <w:shd w:val="clear" w:color="auto" w:fill="FFFFFF"/>
        <w:spacing w:before="0" w:beforeAutospacing="0" w:after="0" w:afterAutospacing="0"/>
        <w:ind w:left="709"/>
        <w:rPr>
          <w:rFonts w:eastAsia="Calibri"/>
          <w:kern w:val="0"/>
          <w:sz w:val="24"/>
          <w:szCs w:val="24"/>
          <w:lang w:eastAsia="en-US"/>
        </w:rPr>
      </w:pPr>
      <w:r>
        <w:rPr>
          <w:rFonts w:eastAsia="Calibri"/>
          <w:b w:val="0"/>
          <w:bCs w:val="0"/>
          <w:kern w:val="0"/>
          <w:sz w:val="24"/>
          <w:szCs w:val="24"/>
          <w:lang w:eastAsia="en-US"/>
        </w:rPr>
        <w:t xml:space="preserve">przewód kabel </w:t>
      </w:r>
      <w:proofErr w:type="spellStart"/>
      <w:r>
        <w:rPr>
          <w:rFonts w:eastAsia="Calibri"/>
          <w:b w:val="0"/>
          <w:bCs w:val="0"/>
          <w:kern w:val="0"/>
          <w:sz w:val="24"/>
          <w:szCs w:val="24"/>
          <w:lang w:eastAsia="en-US"/>
        </w:rPr>
        <w:t>ppoż</w:t>
      </w:r>
      <w:proofErr w:type="spellEnd"/>
      <w:r>
        <w:rPr>
          <w:rFonts w:eastAsia="Calibri"/>
          <w:b w:val="0"/>
          <w:bCs w:val="0"/>
          <w:kern w:val="0"/>
          <w:sz w:val="24"/>
          <w:szCs w:val="24"/>
          <w:lang w:eastAsia="en-US"/>
        </w:rPr>
        <w:t xml:space="preserve"> p-</w:t>
      </w:r>
      <w:proofErr w:type="spellStart"/>
      <w:r>
        <w:rPr>
          <w:rFonts w:eastAsia="Calibri"/>
          <w:b w:val="0"/>
          <w:bCs w:val="0"/>
          <w:kern w:val="0"/>
          <w:sz w:val="24"/>
          <w:szCs w:val="24"/>
          <w:lang w:eastAsia="en-US"/>
        </w:rPr>
        <w:t>poż</w:t>
      </w:r>
      <w:proofErr w:type="spellEnd"/>
      <w:r>
        <w:rPr>
          <w:rFonts w:eastAsia="Calibri"/>
          <w:b w:val="0"/>
          <w:bCs w:val="0"/>
          <w:kern w:val="0"/>
          <w:sz w:val="24"/>
          <w:szCs w:val="24"/>
          <w:lang w:eastAsia="en-US"/>
        </w:rPr>
        <w:t xml:space="preserve">. </w:t>
      </w:r>
      <w:proofErr w:type="spellStart"/>
      <w:r>
        <w:rPr>
          <w:rFonts w:eastAsia="Calibri"/>
          <w:kern w:val="0"/>
          <w:sz w:val="24"/>
          <w:szCs w:val="24"/>
          <w:lang w:eastAsia="en-US"/>
        </w:rPr>
        <w:t>YnTKSYekw</w:t>
      </w:r>
      <w:proofErr w:type="spellEnd"/>
      <w:r>
        <w:rPr>
          <w:rFonts w:eastAsia="Calibri"/>
          <w:kern w:val="0"/>
          <w:sz w:val="24"/>
          <w:szCs w:val="24"/>
          <w:lang w:eastAsia="en-US"/>
        </w:rPr>
        <w:t xml:space="preserve"> 1x2x1 – o długości 650 m</w:t>
      </w:r>
    </w:p>
    <w:p w14:paraId="48E01EE2" w14:textId="77777777" w:rsidR="00D734EF" w:rsidRDefault="00D734EF" w:rsidP="00D734EF">
      <w:pPr>
        <w:pStyle w:val="Nagwek1"/>
        <w:shd w:val="clear" w:color="auto" w:fill="FFFFFF"/>
        <w:spacing w:before="0" w:beforeAutospacing="0" w:after="0" w:afterAutospacing="0"/>
        <w:ind w:left="709"/>
        <w:rPr>
          <w:rFonts w:eastAsia="Calibri"/>
          <w:b w:val="0"/>
          <w:bCs w:val="0"/>
          <w:kern w:val="0"/>
          <w:sz w:val="12"/>
          <w:szCs w:val="12"/>
          <w:lang w:eastAsia="en-US"/>
        </w:rPr>
      </w:pPr>
    </w:p>
    <w:p w14:paraId="590DAC7A" w14:textId="77777777" w:rsidR="00D734EF" w:rsidRDefault="00D734EF" w:rsidP="00D734EF">
      <w:pPr>
        <w:pStyle w:val="Nagwek1"/>
        <w:shd w:val="clear" w:color="auto" w:fill="FFFFFF"/>
        <w:spacing w:before="0" w:beforeAutospacing="0" w:after="0" w:afterAutospacing="0"/>
        <w:ind w:left="709"/>
        <w:jc w:val="both"/>
        <w:rPr>
          <w:rFonts w:eastAsia="Calibri"/>
          <w:b w:val="0"/>
          <w:bCs w:val="0"/>
          <w:kern w:val="0"/>
          <w:sz w:val="20"/>
          <w:szCs w:val="20"/>
          <w:lang w:eastAsia="en-US"/>
        </w:rPr>
      </w:pPr>
      <w:r>
        <w:rPr>
          <w:rFonts w:eastAsia="Calibri"/>
          <w:b w:val="0"/>
          <w:bCs w:val="0"/>
          <w:kern w:val="0"/>
          <w:sz w:val="20"/>
          <w:szCs w:val="20"/>
          <w:lang w:eastAsia="en-US"/>
        </w:rPr>
        <w:t xml:space="preserve">Specjalne kable do łączenia telefonicznych urządzeń stacyjnych i teletransmisyjnych oraz transmisji danych za pomocą sygnałów analogowych i cyfrowych w przeciwpożarowych instalacjach sterowania i sygnalizacji. Kable są stosowane przede wszystkim jako tory transmisji i zasilania urządzeń liniowych (czujniki, moduły liniowe) w dozorowych liniach systemów sygnalizacji pożarowej, autonomicznych systemach sterowania gaszeniem i oddymiania pożarowego. Kable są stosowane w instalacjach wykorzystywanych w chwili „0” powstania pożaru (moment wykrycia pożaru przez centralę </w:t>
      </w:r>
      <w:proofErr w:type="spellStart"/>
      <w:r>
        <w:rPr>
          <w:rFonts w:eastAsia="Calibri"/>
          <w:b w:val="0"/>
          <w:bCs w:val="0"/>
          <w:kern w:val="0"/>
          <w:sz w:val="20"/>
          <w:szCs w:val="20"/>
          <w:lang w:eastAsia="en-US"/>
        </w:rPr>
        <w:t>wykrywczą</w:t>
      </w:r>
      <w:proofErr w:type="spellEnd"/>
      <w:r>
        <w:rPr>
          <w:rFonts w:eastAsia="Calibri"/>
          <w:b w:val="0"/>
          <w:bCs w:val="0"/>
          <w:kern w:val="0"/>
          <w:sz w:val="20"/>
          <w:szCs w:val="20"/>
          <w:lang w:eastAsia="en-US"/>
        </w:rPr>
        <w:t>). Kable są przeznaczone do transmisji sygnału lub stanu wyzwalającego urządzenia pomocnicze, które w przypadku wykrycia pożaru są uruchamiane przez centralę sygnalizacji pożarowej (np. odłączenie wentylacji bytowej, sprowadzenie dźwigów osobowych, wyłączenie zasilania obiektu). Kable ekranowane elektrostatycznie zabezpieczają tor transmisyjny przed wpływem zewnętrznych pół elektrycznych. Kable posiadają Aprobatę Techniczną, Certyfikat, Świadectwo Dopuszczenia wydane przez CNBOP-PIB. Dokumenty te umożliwiają stosowanie kabli w instalacjach bezpieczeństwa pożarowego</w:t>
      </w:r>
    </w:p>
    <w:p w14:paraId="7C9E9F21" w14:textId="77777777" w:rsidR="00D734EF" w:rsidRDefault="00D734EF" w:rsidP="00D734EF">
      <w:pPr>
        <w:spacing w:before="100" w:beforeAutospacing="1" w:after="100" w:afterAutospacing="1" w:line="240" w:lineRule="auto"/>
        <w:ind w:left="284"/>
        <w:rPr>
          <w:rFonts w:ascii="Times New Roman" w:eastAsia="Times New Roman" w:hAnsi="Times New Roman"/>
          <w:b/>
          <w:bCs/>
          <w:sz w:val="24"/>
          <w:szCs w:val="24"/>
          <w:lang w:eastAsia="pl-PL"/>
        </w:rPr>
      </w:pPr>
    </w:p>
    <w:p w14:paraId="6C4BBAE2" w14:textId="77777777" w:rsidR="00D734EF" w:rsidRDefault="00D734EF" w:rsidP="00D734EF">
      <w:pPr>
        <w:spacing w:before="100" w:beforeAutospacing="1" w:after="100" w:afterAutospacing="1" w:line="240" w:lineRule="auto"/>
        <w:ind w:left="284"/>
        <w:rPr>
          <w:rFonts w:ascii="Times New Roman" w:eastAsia="Times New Roman" w:hAnsi="Times New Roman"/>
          <w:b/>
          <w:bCs/>
          <w:sz w:val="24"/>
          <w:szCs w:val="24"/>
          <w:lang w:eastAsia="pl-PL"/>
        </w:rPr>
      </w:pPr>
    </w:p>
    <w:p w14:paraId="304D60B8" w14:textId="77777777" w:rsidR="00D734EF" w:rsidRDefault="00D734EF" w:rsidP="00D734EF">
      <w:pPr>
        <w:spacing w:before="100" w:beforeAutospacing="1" w:after="100" w:afterAutospacing="1" w:line="240" w:lineRule="auto"/>
        <w:ind w:left="284"/>
        <w:rPr>
          <w:rFonts w:ascii="Times New Roman" w:eastAsia="Times New Roman" w:hAnsi="Times New Roman"/>
          <w:b/>
          <w:bCs/>
          <w:sz w:val="24"/>
          <w:szCs w:val="24"/>
          <w:lang w:eastAsia="pl-PL"/>
        </w:rPr>
      </w:pPr>
    </w:p>
    <w:p w14:paraId="23844CFC" w14:textId="77777777" w:rsidR="00D734EF" w:rsidRDefault="00D734EF" w:rsidP="00D734EF">
      <w:pPr>
        <w:spacing w:before="100" w:beforeAutospacing="1" w:after="100" w:afterAutospacing="1" w:line="240" w:lineRule="auto"/>
        <w:ind w:left="284"/>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UWAGA:</w:t>
      </w:r>
    </w:p>
    <w:p w14:paraId="258A26BB" w14:textId="77777777" w:rsidR="00D734EF" w:rsidRDefault="00D734EF" w:rsidP="00D734EF">
      <w:pPr>
        <w:spacing w:before="100" w:beforeAutospacing="1" w:after="100" w:afterAutospacing="1" w:line="240" w:lineRule="auto"/>
        <w:ind w:left="284"/>
        <w:rPr>
          <w:rFonts w:ascii="Times New Roman" w:eastAsia="Times New Roman" w:hAnsi="Times New Roman"/>
          <w:sz w:val="24"/>
          <w:szCs w:val="24"/>
          <w:lang w:eastAsia="pl-PL"/>
        </w:rPr>
      </w:pPr>
      <w:r>
        <w:rPr>
          <w:rFonts w:ascii="Times New Roman" w:eastAsia="Times New Roman" w:hAnsi="Times New Roman"/>
          <w:b/>
          <w:bCs/>
          <w:sz w:val="24"/>
          <w:szCs w:val="24"/>
          <w:lang w:eastAsia="pl-PL"/>
        </w:rPr>
        <w:t xml:space="preserve">Zamawiający dopuszcza składanie ofert równoważnych w sytuacjach określonych poniżej: </w:t>
      </w:r>
    </w:p>
    <w:p w14:paraId="3FFC9CD7" w14:textId="77777777" w:rsidR="00D734EF" w:rsidRDefault="00D734EF" w:rsidP="00D734EF">
      <w:pPr>
        <w:spacing w:before="100" w:beforeAutospacing="1" w:after="100" w:afterAutospacing="1" w:line="240" w:lineRule="auto"/>
        <w:ind w:left="284"/>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Jeżeli w treści dokumentacji przetargowej w opisie przedmiotu zamówienia użyto zapisów szczególnie wskazujących na: nazwy własne, znaki towarowe, patenty, normy, ocen i specyfikacji technicznych, systemów referencji technicznych  lub pochodzenie produktu, źródło lub szczególnego procesu, który charakteryzuje produkty lub usługi dostarczane przez konkretnego wykonawcę, to należy je traktować wyłącznie jako przykładowe, w takim przypadku Zamawiający dopuszcza składanie ofert równoważnych. Zamawiający dopuszcza rozwiązania równoważne opisywanym, a odniesieniu takiemu towarzyszą wyrazy „lub równoważne”.</w:t>
      </w:r>
      <w:r>
        <w:rPr>
          <w:rFonts w:ascii="Times New Roman" w:eastAsia="Times New Roman" w:hAnsi="Times New Roman"/>
          <w:b/>
          <w:bCs/>
          <w:sz w:val="24"/>
          <w:szCs w:val="24"/>
          <w:lang w:eastAsia="pl-PL"/>
        </w:rPr>
        <w:t xml:space="preserve"> </w:t>
      </w:r>
      <w:r>
        <w:rPr>
          <w:rFonts w:ascii="Times New Roman" w:eastAsia="Times New Roman" w:hAnsi="Times New Roman"/>
          <w:sz w:val="24"/>
          <w:szCs w:val="24"/>
          <w:lang w:eastAsia="pl-PL"/>
        </w:rPr>
        <w:t> Przez ofertę równoważną należy rozumieć taką ofertę, która przedstawia opis przedmiotu zamówienia o co najmniej takich samych lub lepszych parametrach, jakie zostały określone w SIWZ, lecz oznaczonych np. innym znakiem towarowym, patentem, normą lub pochodzeniem. Ofertą równoważną są produkty lub rozwiązania, które odpowiadają lub przewyższają pod względem jakości i funkcjonalności produkty lub rozwiązania wskazane przez zamawiającego w SIWZ oraz ich nie obniżają.  Na Wykonawcy składającym ofertę równoważną spoczywa obowiązek udowodnienia równoważności oferowanych produktów lub rozwiązań.</w:t>
      </w:r>
    </w:p>
    <w:p w14:paraId="5919B3D4" w14:textId="77777777" w:rsidR="00D734EF" w:rsidRDefault="00D734EF" w:rsidP="00D734EF">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w:t>
      </w:r>
    </w:p>
    <w:p w14:paraId="4A14B00B" w14:textId="77777777" w:rsidR="00D734EF" w:rsidRDefault="00D734EF" w:rsidP="00D734EF">
      <w:pPr>
        <w:ind w:left="709"/>
        <w:jc w:val="both"/>
        <w:rPr>
          <w:rFonts w:ascii="Times New Roman" w:hAnsi="Times New Roman"/>
          <w:sz w:val="24"/>
          <w:szCs w:val="24"/>
        </w:rPr>
      </w:pPr>
    </w:p>
    <w:p w14:paraId="53E3B073" w14:textId="77777777" w:rsidR="00F4325D" w:rsidRDefault="00F4325D"/>
    <w:sectPr w:rsidR="00F432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A66FCC"/>
    <w:multiLevelType w:val="hybridMultilevel"/>
    <w:tmpl w:val="86A83E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736C4E53"/>
    <w:multiLevelType w:val="multilevel"/>
    <w:tmpl w:val="31C242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5D"/>
    <w:rsid w:val="00D734EF"/>
    <w:rsid w:val="00F43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863419-02D6-4400-ABA0-E02D658EF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34EF"/>
    <w:pPr>
      <w:spacing w:line="256" w:lineRule="auto"/>
    </w:pPr>
    <w:rPr>
      <w:rFonts w:ascii="Calibri" w:eastAsia="Calibri" w:hAnsi="Calibri" w:cs="Times New Roman"/>
    </w:rPr>
  </w:style>
  <w:style w:type="paragraph" w:styleId="Nagwek1">
    <w:name w:val="heading 1"/>
    <w:basedOn w:val="Normalny"/>
    <w:link w:val="Nagwek1Znak"/>
    <w:uiPriority w:val="9"/>
    <w:qFormat/>
    <w:rsid w:val="00D734EF"/>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734EF"/>
    <w:rPr>
      <w:rFonts w:ascii="Times New Roman" w:eastAsia="Times New Roman" w:hAnsi="Times New Roman" w:cs="Times New Roman"/>
      <w:b/>
      <w:bCs/>
      <w:kern w:val="36"/>
      <w:sz w:val="48"/>
      <w:szCs w:val="4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804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613</Words>
  <Characters>3680</Characters>
  <Application>Microsoft Office Word</Application>
  <DocSecurity>0</DocSecurity>
  <Lines>30</Lines>
  <Paragraphs>8</Paragraphs>
  <ScaleCrop>false</ScaleCrop>
  <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2</cp:revision>
  <dcterms:created xsi:type="dcterms:W3CDTF">2021-03-19T08:40:00Z</dcterms:created>
  <dcterms:modified xsi:type="dcterms:W3CDTF">2021-03-19T08:41:00Z</dcterms:modified>
</cp:coreProperties>
</file>