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D047D" w14:textId="77777777" w:rsidR="001F625C" w:rsidRPr="00200ADF" w:rsidRDefault="001F625C" w:rsidP="001F625C">
      <w:r w:rsidRPr="00200ADF">
        <w:t>26/02/2021    S40</w:t>
      </w:r>
    </w:p>
    <w:p w14:paraId="2C122832" w14:textId="77777777" w:rsidR="001F625C" w:rsidRPr="00200ADF" w:rsidRDefault="001F625C" w:rsidP="001F625C">
      <w:pPr>
        <w:numPr>
          <w:ilvl w:val="0"/>
          <w:numId w:val="15"/>
        </w:numPr>
      </w:pPr>
      <w:hyperlink r:id="rId7" w:anchor="id0-I." w:history="1">
        <w:r w:rsidRPr="00200ADF">
          <w:rPr>
            <w:rStyle w:val="Hipercze"/>
          </w:rPr>
          <w:t>I.</w:t>
        </w:r>
      </w:hyperlink>
    </w:p>
    <w:p w14:paraId="4F9CD882" w14:textId="77777777" w:rsidR="001F625C" w:rsidRPr="00200ADF" w:rsidRDefault="001F625C" w:rsidP="001F625C">
      <w:pPr>
        <w:numPr>
          <w:ilvl w:val="0"/>
          <w:numId w:val="15"/>
        </w:numPr>
      </w:pPr>
      <w:hyperlink r:id="rId8" w:anchor="id1-II." w:history="1">
        <w:r w:rsidRPr="00200ADF">
          <w:rPr>
            <w:rStyle w:val="Hipercze"/>
          </w:rPr>
          <w:t>II.</w:t>
        </w:r>
      </w:hyperlink>
    </w:p>
    <w:p w14:paraId="4F2AE4F8" w14:textId="77777777" w:rsidR="001F625C" w:rsidRPr="00200ADF" w:rsidRDefault="001F625C" w:rsidP="001F625C">
      <w:pPr>
        <w:numPr>
          <w:ilvl w:val="0"/>
          <w:numId w:val="15"/>
        </w:numPr>
      </w:pPr>
      <w:hyperlink r:id="rId9" w:anchor="id2-VI." w:history="1">
        <w:r w:rsidRPr="00200ADF">
          <w:rPr>
            <w:rStyle w:val="Hipercze"/>
          </w:rPr>
          <w:t>VI.</w:t>
        </w:r>
      </w:hyperlink>
    </w:p>
    <w:p w14:paraId="3B9ECD98" w14:textId="77777777" w:rsidR="001F625C" w:rsidRPr="00200ADF" w:rsidRDefault="001F625C" w:rsidP="001F625C">
      <w:pPr>
        <w:numPr>
          <w:ilvl w:val="0"/>
          <w:numId w:val="15"/>
        </w:numPr>
      </w:pPr>
      <w:hyperlink r:id="rId10" w:anchor="id3-VII." w:history="1">
        <w:r w:rsidRPr="00200ADF">
          <w:rPr>
            <w:rStyle w:val="Hipercze"/>
          </w:rPr>
          <w:t>VII.</w:t>
        </w:r>
      </w:hyperlink>
    </w:p>
    <w:p w14:paraId="56420F58" w14:textId="77777777" w:rsidR="001F625C" w:rsidRPr="00200ADF" w:rsidRDefault="001F625C" w:rsidP="001F625C">
      <w:pPr>
        <w:rPr>
          <w:b/>
          <w:bCs/>
        </w:rPr>
      </w:pPr>
      <w:r w:rsidRPr="00200ADF">
        <w:rPr>
          <w:b/>
          <w:bCs/>
        </w:rPr>
        <w:t>Polska-Kraków: Przyrządy pomiarowe</w:t>
      </w:r>
    </w:p>
    <w:p w14:paraId="3F53759D" w14:textId="77777777" w:rsidR="001F625C" w:rsidRPr="00200ADF" w:rsidRDefault="001F625C" w:rsidP="001F625C">
      <w:pPr>
        <w:rPr>
          <w:b/>
          <w:bCs/>
        </w:rPr>
      </w:pPr>
      <w:r w:rsidRPr="00200ADF">
        <w:rPr>
          <w:b/>
          <w:bCs/>
        </w:rPr>
        <w:t>2021/S 040-098732</w:t>
      </w:r>
    </w:p>
    <w:p w14:paraId="7FD3EF48" w14:textId="77777777" w:rsidR="001F625C" w:rsidRPr="00200ADF" w:rsidRDefault="001F625C" w:rsidP="001F625C">
      <w:pPr>
        <w:rPr>
          <w:b/>
          <w:bCs/>
        </w:rPr>
      </w:pPr>
      <w:r w:rsidRPr="00200ADF">
        <w:rPr>
          <w:b/>
          <w:bCs/>
        </w:rPr>
        <w:t>Sprostowanie</w:t>
      </w:r>
    </w:p>
    <w:p w14:paraId="008FA8E7" w14:textId="77777777" w:rsidR="001F625C" w:rsidRPr="00200ADF" w:rsidRDefault="001F625C" w:rsidP="001F625C">
      <w:pPr>
        <w:rPr>
          <w:b/>
          <w:bCs/>
        </w:rPr>
      </w:pPr>
      <w:r w:rsidRPr="00200ADF">
        <w:rPr>
          <w:b/>
          <w:bCs/>
        </w:rPr>
        <w:t>Ogłoszenie zmian lub dodatkowych informacji</w:t>
      </w:r>
    </w:p>
    <w:p w14:paraId="224F5041" w14:textId="77777777" w:rsidR="001F625C" w:rsidRPr="00200ADF" w:rsidRDefault="001F625C" w:rsidP="001F625C">
      <w:pPr>
        <w:rPr>
          <w:b/>
          <w:bCs/>
        </w:rPr>
      </w:pPr>
      <w:r w:rsidRPr="00200ADF">
        <w:rPr>
          <w:b/>
          <w:bCs/>
        </w:rPr>
        <w:t>Dostawy</w:t>
      </w:r>
    </w:p>
    <w:p w14:paraId="57C69924" w14:textId="77777777" w:rsidR="001F625C" w:rsidRPr="00200ADF" w:rsidRDefault="001F625C" w:rsidP="001F625C">
      <w:pPr>
        <w:rPr>
          <w:b/>
          <w:bCs/>
        </w:rPr>
      </w:pPr>
      <w:r w:rsidRPr="00200ADF">
        <w:rPr>
          <w:b/>
          <w:bCs/>
        </w:rPr>
        <w:t xml:space="preserve">(Suplement do Dziennika Urzędowego Unii Europejskiej, </w:t>
      </w:r>
      <w:hyperlink r:id="rId11" w:history="1">
        <w:r w:rsidRPr="00200ADF">
          <w:rPr>
            <w:rStyle w:val="Hipercze"/>
            <w:b/>
            <w:bCs/>
          </w:rPr>
          <w:t>2021/S 037-091934</w:t>
        </w:r>
      </w:hyperlink>
      <w:r w:rsidRPr="00200ADF">
        <w:rPr>
          <w:b/>
          <w:bCs/>
        </w:rPr>
        <w:t>)</w:t>
      </w:r>
    </w:p>
    <w:p w14:paraId="78EDE303" w14:textId="77777777" w:rsidR="001F625C" w:rsidRPr="00200ADF" w:rsidRDefault="001F625C" w:rsidP="001F625C">
      <w:pPr>
        <w:rPr>
          <w:b/>
          <w:bCs/>
        </w:rPr>
      </w:pPr>
      <w:r w:rsidRPr="00200ADF">
        <w:rPr>
          <w:b/>
          <w:bCs/>
        </w:rPr>
        <w:lastRenderedPageBreak/>
        <w:t>Podstawa prawna:</w:t>
      </w:r>
    </w:p>
    <w:p w14:paraId="592AE605" w14:textId="77777777" w:rsidR="001F625C" w:rsidRPr="00200ADF" w:rsidRDefault="001F625C" w:rsidP="001F625C">
      <w:r w:rsidRPr="00200ADF">
        <w:t>Dyrektywa 2014/24/UE</w:t>
      </w:r>
    </w:p>
    <w:p w14:paraId="5DC73870" w14:textId="77777777" w:rsidR="001F625C" w:rsidRPr="00200ADF" w:rsidRDefault="001F625C" w:rsidP="001F625C">
      <w:r w:rsidRPr="00200ADF">
        <w:t>Sekcja I: Instytucja zamawiająca/podmiot zamawiający</w:t>
      </w:r>
    </w:p>
    <w:p w14:paraId="3ECD0CBC" w14:textId="77777777" w:rsidR="001F625C" w:rsidRPr="00200ADF" w:rsidRDefault="001F625C" w:rsidP="001F625C">
      <w:r w:rsidRPr="00200ADF">
        <w:t>I.1)</w:t>
      </w:r>
      <w:r w:rsidRPr="00200ADF">
        <w:rPr>
          <w:b/>
          <w:bCs/>
        </w:rPr>
        <w:t>Nazwa i adresy</w:t>
      </w:r>
    </w:p>
    <w:p w14:paraId="5B6E5F4A" w14:textId="77777777" w:rsidR="001F625C" w:rsidRPr="00200ADF" w:rsidRDefault="001F625C" w:rsidP="001F625C">
      <w:r w:rsidRPr="00200ADF">
        <w:t>Oficjalna nazwa: Akademia Górniczo-Hutnicza im. Stanisława Staszica w Krakowie</w:t>
      </w:r>
      <w:r w:rsidRPr="00200ADF">
        <w:br/>
        <w:t>Adres pocztowy: al. Mickiewicza 30</w:t>
      </w:r>
      <w:r w:rsidRPr="00200ADF">
        <w:br/>
        <w:t>Miejscowość: Kraków</w:t>
      </w:r>
      <w:r w:rsidRPr="00200ADF">
        <w:br/>
        <w:t>Kod NUTS: PL213 Miasto Kraków</w:t>
      </w:r>
      <w:r w:rsidRPr="00200ADF">
        <w:br/>
        <w:t>Kod pocztowy: 30-059</w:t>
      </w:r>
      <w:r w:rsidRPr="00200ADF">
        <w:br/>
        <w:t>Państwo: Polska</w:t>
      </w:r>
      <w:r w:rsidRPr="00200ADF">
        <w:br/>
        <w:t>Osoba do kontaktów: Renata Rogowska-Kwas</w:t>
      </w:r>
      <w:r w:rsidRPr="00200ADF">
        <w:br/>
        <w:t xml:space="preserve">E-mail: </w:t>
      </w:r>
      <w:hyperlink r:id="rId12" w:history="1">
        <w:r w:rsidRPr="00200ADF">
          <w:rPr>
            <w:rStyle w:val="Hipercze"/>
          </w:rPr>
          <w:t>dzp@agh.edu.pl</w:t>
        </w:r>
      </w:hyperlink>
      <w:r w:rsidRPr="00200ADF">
        <w:br/>
        <w:t>Tel.: +48 126173595</w:t>
      </w:r>
      <w:r w:rsidRPr="00200ADF">
        <w:br/>
        <w:t>Faks: +48 126173363</w:t>
      </w:r>
      <w:r w:rsidRPr="00200ADF">
        <w:br/>
      </w:r>
      <w:r w:rsidRPr="00200ADF">
        <w:rPr>
          <w:b/>
          <w:bCs/>
        </w:rPr>
        <w:t xml:space="preserve">Adresy internetowe: </w:t>
      </w:r>
      <w:r w:rsidRPr="00200ADF">
        <w:br/>
        <w:t xml:space="preserve">Główny adres: </w:t>
      </w:r>
      <w:hyperlink r:id="rId13" w:tgtFrame="_blank" w:history="1">
        <w:r w:rsidRPr="00200ADF">
          <w:rPr>
            <w:rStyle w:val="Hipercze"/>
          </w:rPr>
          <w:t>www.dzp.agh.edu.pl</w:t>
        </w:r>
      </w:hyperlink>
      <w:r w:rsidRPr="00200ADF">
        <w:br/>
        <w:t xml:space="preserve">Adres profilu nabywcy: </w:t>
      </w:r>
      <w:hyperlink r:id="rId14" w:tgtFrame="_blank" w:history="1">
        <w:r w:rsidRPr="00200ADF">
          <w:rPr>
            <w:rStyle w:val="Hipercze"/>
          </w:rPr>
          <w:t>www.dzp.agh.edu.pl</w:t>
        </w:r>
      </w:hyperlink>
    </w:p>
    <w:p w14:paraId="344A6F4D" w14:textId="77777777" w:rsidR="001F625C" w:rsidRPr="00200ADF" w:rsidRDefault="001F625C" w:rsidP="001F625C">
      <w:r w:rsidRPr="00200ADF">
        <w:t>Sekcja II: Przedmiot</w:t>
      </w:r>
    </w:p>
    <w:p w14:paraId="269CB983" w14:textId="77777777" w:rsidR="001F625C" w:rsidRPr="00200ADF" w:rsidRDefault="001F625C" w:rsidP="001F625C">
      <w:r w:rsidRPr="00200ADF">
        <w:t>II.1)</w:t>
      </w:r>
      <w:r w:rsidRPr="00200ADF">
        <w:rPr>
          <w:b/>
          <w:bCs/>
        </w:rPr>
        <w:t>Wielkość lub zakres zamówienia</w:t>
      </w:r>
    </w:p>
    <w:p w14:paraId="65859694" w14:textId="77777777" w:rsidR="001F625C" w:rsidRPr="00200ADF" w:rsidRDefault="001F625C" w:rsidP="001F625C">
      <w:r w:rsidRPr="00200ADF">
        <w:t>II.1.1)</w:t>
      </w:r>
      <w:r w:rsidRPr="00200ADF">
        <w:rPr>
          <w:b/>
          <w:bCs/>
        </w:rPr>
        <w:t>Nazwa:</w:t>
      </w:r>
    </w:p>
    <w:p w14:paraId="50EE8A40" w14:textId="77777777" w:rsidR="001F625C" w:rsidRPr="00200ADF" w:rsidRDefault="001F625C" w:rsidP="001F625C">
      <w:r w:rsidRPr="00200ADF">
        <w:t>Dostawa, zainstalowanie i uruchomienie urządzeń do przeprowadzania procesów zgazowania i pirolizy oraz badania aktywności katalizatorów w procesach termicznej konwersji paliw dla lab. w części b–d CE</w:t>
      </w:r>
    </w:p>
    <w:p w14:paraId="6A3A94F6" w14:textId="77777777" w:rsidR="001F625C" w:rsidRPr="00200ADF" w:rsidRDefault="001F625C" w:rsidP="001F625C">
      <w:r w:rsidRPr="00200ADF">
        <w:t>Numer referencyjny: KC-zp.272-7/21</w:t>
      </w:r>
    </w:p>
    <w:p w14:paraId="647187CB" w14:textId="77777777" w:rsidR="001F625C" w:rsidRPr="00200ADF" w:rsidRDefault="001F625C" w:rsidP="001F625C">
      <w:r w:rsidRPr="00200ADF">
        <w:t>II.1.2)</w:t>
      </w:r>
      <w:r w:rsidRPr="00200ADF">
        <w:rPr>
          <w:b/>
          <w:bCs/>
        </w:rPr>
        <w:t>Główny kod CPV</w:t>
      </w:r>
    </w:p>
    <w:p w14:paraId="72735C32" w14:textId="77777777" w:rsidR="001F625C" w:rsidRPr="00200ADF" w:rsidRDefault="001F625C" w:rsidP="001F625C">
      <w:r w:rsidRPr="00200ADF">
        <w:t>38410000 Przyrządy pomiarowe</w:t>
      </w:r>
    </w:p>
    <w:p w14:paraId="4EA4E81E" w14:textId="77777777" w:rsidR="001F625C" w:rsidRPr="00200ADF" w:rsidRDefault="001F625C" w:rsidP="001F625C">
      <w:r w:rsidRPr="00200ADF">
        <w:t>II.1.3)</w:t>
      </w:r>
      <w:r w:rsidRPr="00200ADF">
        <w:rPr>
          <w:b/>
          <w:bCs/>
        </w:rPr>
        <w:t>Rodzaj zamówienia</w:t>
      </w:r>
    </w:p>
    <w:p w14:paraId="2769ADC7" w14:textId="77777777" w:rsidR="001F625C" w:rsidRPr="00200ADF" w:rsidRDefault="001F625C" w:rsidP="001F625C">
      <w:r w:rsidRPr="00200ADF">
        <w:t>Dostawy</w:t>
      </w:r>
    </w:p>
    <w:p w14:paraId="1C3C6DD5" w14:textId="77777777" w:rsidR="001F625C" w:rsidRPr="00200ADF" w:rsidRDefault="001F625C" w:rsidP="001F625C">
      <w:r w:rsidRPr="00200ADF">
        <w:t>II.1.4)</w:t>
      </w:r>
      <w:r w:rsidRPr="00200ADF">
        <w:rPr>
          <w:b/>
          <w:bCs/>
        </w:rPr>
        <w:t>Krótki opis:</w:t>
      </w:r>
    </w:p>
    <w:p w14:paraId="554E433E" w14:textId="77777777" w:rsidR="001F625C" w:rsidRPr="00200ADF" w:rsidRDefault="001F625C" w:rsidP="001F625C">
      <w:r w:rsidRPr="00200ADF">
        <w:t>Przedmiotem zamówienia jest dostawa, zainstalowanie i uruchomienie urządzeń do przeprowadzania procesów zgazowania i pirolizy oraz badania aktywności katalizatorów w procesach termicznej konwersji paliw dla laboratorium w części badawczo-dydaktycznej Centrum Energetyki.</w:t>
      </w:r>
    </w:p>
    <w:p w14:paraId="36768A93" w14:textId="77777777" w:rsidR="001F625C" w:rsidRPr="00200ADF" w:rsidRDefault="001F625C" w:rsidP="001F625C">
      <w:r w:rsidRPr="00200ADF">
        <w:lastRenderedPageBreak/>
        <w:t>Zestaw urządzeń musi być kompletny, aby po zainstalowaniu wszystkich elementów przez Wykonawcę oraz podłączeniu do niezbędnych instalacji był gotowy do pracy, bez konieczności zakupu dodatkowych elementów przez Zamawiającego.</w:t>
      </w:r>
    </w:p>
    <w:p w14:paraId="7CAEF633" w14:textId="77777777" w:rsidR="001F625C" w:rsidRPr="00200ADF" w:rsidRDefault="001F625C" w:rsidP="001F625C">
      <w:r w:rsidRPr="00200ADF">
        <w:t>Sekcja VI: Informacje uzupełniające</w:t>
      </w:r>
    </w:p>
    <w:p w14:paraId="5F2809B2" w14:textId="77777777" w:rsidR="001F625C" w:rsidRPr="00200ADF" w:rsidRDefault="001F625C" w:rsidP="001F625C">
      <w:r w:rsidRPr="00200ADF">
        <w:t>VI.5)</w:t>
      </w:r>
      <w:r w:rsidRPr="00200ADF">
        <w:rPr>
          <w:b/>
          <w:bCs/>
        </w:rPr>
        <w:t>Data wysłania niniejszego ogłoszenia:</w:t>
      </w:r>
    </w:p>
    <w:p w14:paraId="1E08E595" w14:textId="77777777" w:rsidR="001F625C" w:rsidRPr="00200ADF" w:rsidRDefault="001F625C" w:rsidP="001F625C">
      <w:r w:rsidRPr="00200ADF">
        <w:t>23/02/2021</w:t>
      </w:r>
    </w:p>
    <w:p w14:paraId="565C3887" w14:textId="77777777" w:rsidR="001F625C" w:rsidRPr="00200ADF" w:rsidRDefault="001F625C" w:rsidP="001F625C">
      <w:r w:rsidRPr="00200ADF">
        <w:t>VI.6)</w:t>
      </w:r>
      <w:r w:rsidRPr="00200ADF">
        <w:rPr>
          <w:b/>
          <w:bCs/>
        </w:rPr>
        <w:t>Numer pierwotnego ogłoszenia</w:t>
      </w:r>
    </w:p>
    <w:p w14:paraId="2AF1841D" w14:textId="77777777" w:rsidR="001F625C" w:rsidRPr="00200ADF" w:rsidRDefault="001F625C" w:rsidP="001F625C">
      <w:r w:rsidRPr="00200ADF">
        <w:t xml:space="preserve">Numer ogłoszenia w </w:t>
      </w:r>
      <w:proofErr w:type="spellStart"/>
      <w:r w:rsidRPr="00200ADF">
        <w:t>Dz.Urz</w:t>
      </w:r>
      <w:proofErr w:type="spellEnd"/>
      <w:r w:rsidRPr="00200ADF">
        <w:t xml:space="preserve">. UE – OJ/S: </w:t>
      </w:r>
      <w:hyperlink r:id="rId15" w:history="1">
        <w:r w:rsidRPr="00200ADF">
          <w:rPr>
            <w:rStyle w:val="Hipercze"/>
          </w:rPr>
          <w:t>2021/S 037-091934</w:t>
        </w:r>
      </w:hyperlink>
    </w:p>
    <w:p w14:paraId="0E6603B0" w14:textId="77777777" w:rsidR="001F625C" w:rsidRPr="00200ADF" w:rsidRDefault="001F625C" w:rsidP="001F625C">
      <w:r w:rsidRPr="00200ADF">
        <w:t>Sekcja VII: Zmiany</w:t>
      </w:r>
    </w:p>
    <w:p w14:paraId="7AA81E6C" w14:textId="77777777" w:rsidR="001F625C" w:rsidRPr="00200ADF" w:rsidRDefault="001F625C" w:rsidP="001F625C">
      <w:r w:rsidRPr="00200ADF">
        <w:t>VII.1)</w:t>
      </w:r>
      <w:r w:rsidRPr="00200ADF">
        <w:rPr>
          <w:b/>
          <w:bCs/>
        </w:rPr>
        <w:t xml:space="preserve">Informacje do zmiany lub dodania </w:t>
      </w:r>
    </w:p>
    <w:p w14:paraId="1EA40AE0" w14:textId="77777777" w:rsidR="001F625C" w:rsidRPr="00200ADF" w:rsidRDefault="001F625C" w:rsidP="001F625C">
      <w:r w:rsidRPr="00200ADF">
        <w:t>VII.1.2)</w:t>
      </w:r>
      <w:r w:rsidRPr="00200ADF">
        <w:rPr>
          <w:b/>
          <w:bCs/>
        </w:rPr>
        <w:t>Tekst, który należy poprawić w pierwotnym ogłoszeniu</w:t>
      </w:r>
    </w:p>
    <w:p w14:paraId="1641EDBF" w14:textId="77777777" w:rsidR="001F625C" w:rsidRPr="00200ADF" w:rsidRDefault="001F625C" w:rsidP="001F625C">
      <w:r w:rsidRPr="00200ADF">
        <w:t>Numer sekcji: III.1.1</w:t>
      </w:r>
    </w:p>
    <w:p w14:paraId="7A4A7EF7" w14:textId="77777777" w:rsidR="001F625C" w:rsidRPr="00200ADF" w:rsidRDefault="001F625C" w:rsidP="001F625C">
      <w:r w:rsidRPr="00200ADF">
        <w:t xml:space="preserve">Zamiast: </w:t>
      </w:r>
    </w:p>
    <w:p w14:paraId="16F5CDFB" w14:textId="77777777" w:rsidR="001F625C" w:rsidRPr="00200ADF" w:rsidRDefault="001F625C" w:rsidP="001F625C">
      <w:r w:rsidRPr="00200ADF">
        <w:t>Wykaz i krótki opis warunków:</w:t>
      </w:r>
    </w:p>
    <w:p w14:paraId="6EEBE096" w14:textId="77777777" w:rsidR="001F625C" w:rsidRPr="00200ADF" w:rsidRDefault="001F625C" w:rsidP="001F625C">
      <w:r w:rsidRPr="00200ADF">
        <w:t xml:space="preserve">1. O udzielenie zamówienia mogą ubiegać się Wykonawcy, którzy nie podlegają wykluczeniu na podstawie art. 108 ust. 1 ustawy </w:t>
      </w:r>
      <w:proofErr w:type="spellStart"/>
      <w:r w:rsidRPr="00200ADF">
        <w:t>Pzp</w:t>
      </w:r>
      <w:proofErr w:type="spellEnd"/>
      <w:r w:rsidRPr="00200ADF">
        <w:t xml:space="preserve"> oraz art. 109 ust. 1 pkt 4, pkt 5, pkt 6, pkt 7, pkt 8, pkt 9 i pkt 10 ustawy </w:t>
      </w:r>
      <w:proofErr w:type="spellStart"/>
      <w:r w:rsidRPr="00200ADF">
        <w:t>Pzp</w:t>
      </w:r>
      <w:proofErr w:type="spellEnd"/>
      <w:r w:rsidRPr="00200ADF">
        <w:t>.</w:t>
      </w:r>
    </w:p>
    <w:p w14:paraId="6A13C27E" w14:textId="77777777" w:rsidR="001F625C" w:rsidRPr="00200ADF" w:rsidRDefault="001F625C" w:rsidP="001F625C">
      <w:r w:rsidRPr="00200ADF">
        <w:t>2. Zamawiający przed wyborem najkorzystniejszej oferty wezwie Wykonawcę, którego oferta została najwyżej oceniona, do złożenia:</w:t>
      </w:r>
    </w:p>
    <w:p w14:paraId="13193A1C" w14:textId="77777777" w:rsidR="001F625C" w:rsidRPr="00200ADF" w:rsidRDefault="001F625C" w:rsidP="001F625C">
      <w:r w:rsidRPr="00200ADF">
        <w:t>a) oświadczenia o niepodleganiu wykluczeniu z postępowania oraz o spełnianiu warunków udziału w postępowaniu złożone na formularzu JEDZ, sporządzonego zgodnie ze wzorem standardowego formularza określonego w rozporządzeniu wykonawczym Komisji (UE) 2016/7 z dnia 5 stycznia 2016 r. ustanawiającym standardowy formularz jednolitego europejskiego dokumentu zamówienia;</w:t>
      </w:r>
    </w:p>
    <w:p w14:paraId="49D711F2" w14:textId="77777777" w:rsidR="001F625C" w:rsidRPr="00200ADF" w:rsidRDefault="001F625C" w:rsidP="001F625C">
      <w:r w:rsidRPr="00200ADF">
        <w:t xml:space="preserve">Powinno być: </w:t>
      </w:r>
    </w:p>
    <w:p w14:paraId="5AD85F95" w14:textId="77777777" w:rsidR="001F625C" w:rsidRPr="00200ADF" w:rsidRDefault="001F625C" w:rsidP="001F625C">
      <w:r w:rsidRPr="00200ADF">
        <w:t>Wykaz i krótki opis warunków:</w:t>
      </w:r>
    </w:p>
    <w:p w14:paraId="39D7BBD5" w14:textId="77777777" w:rsidR="001F625C" w:rsidRPr="00200ADF" w:rsidRDefault="001F625C" w:rsidP="001F625C">
      <w:r w:rsidRPr="00200ADF">
        <w:t xml:space="preserve">1. o udzielenie zamówienia mogą ubiegać się Wykonawcy, którzy nie podlegają wykluczeniu na podstawie art. 108 ust. 1 ustawy </w:t>
      </w:r>
      <w:proofErr w:type="spellStart"/>
      <w:r w:rsidRPr="00200ADF">
        <w:t>Pzp</w:t>
      </w:r>
      <w:proofErr w:type="spellEnd"/>
      <w:r w:rsidRPr="00200ADF">
        <w:t xml:space="preserve"> oraz art. 109 ust. 1 pkt 4, pkt 5, pkt 6, pkt 7, pkt 8, pkt 9 i pkt 10 ustawy </w:t>
      </w:r>
      <w:proofErr w:type="spellStart"/>
      <w:r w:rsidRPr="00200ADF">
        <w:t>Pzp</w:t>
      </w:r>
      <w:proofErr w:type="spellEnd"/>
      <w:r w:rsidRPr="00200ADF">
        <w:t>;</w:t>
      </w:r>
    </w:p>
    <w:p w14:paraId="244DB904" w14:textId="77777777" w:rsidR="001F625C" w:rsidRPr="00200ADF" w:rsidRDefault="001F625C" w:rsidP="001F625C">
      <w:r w:rsidRPr="00200ADF">
        <w:t>2. Zamawiający przed wyborem najkorzystniejszej oferty wezwie Wykonawcę, którego oferta została najwyżej oceniona, do złożenia:</w:t>
      </w:r>
    </w:p>
    <w:p w14:paraId="54BF91BD" w14:textId="77777777" w:rsidR="001F625C" w:rsidRPr="00200ADF" w:rsidRDefault="001F625C" w:rsidP="001F625C">
      <w:r w:rsidRPr="00200ADF">
        <w:lastRenderedPageBreak/>
        <w:t>a) oświadczenia o niepodleganiu wykluczeniu z postępowania oraz o spełnianiu warunków udziału w postępowaniu złożone na formularzu JEDZ, sporządzonego zgodnie ze wzorem standardowego formularza określonego w rozporządzeniu wykonawczym Komisji (UE) 2016/7 z dnia 5 stycznia 2016 r. ustanawiającym standardowy formularz jednolitego europejskiego dokumentu zamówienia;</w:t>
      </w:r>
    </w:p>
    <w:p w14:paraId="5446DDD8" w14:textId="77777777" w:rsidR="001F625C" w:rsidRPr="00200ADF" w:rsidRDefault="001F625C" w:rsidP="001F625C">
      <w:r w:rsidRPr="00200ADF">
        <w:t>w przypadku wspólnego ubiegania się o zamówienie przez wykonawców, JEDZ składa każdy z wykonawców wspólnie ubiegających się o zamówienie.</w:t>
      </w:r>
    </w:p>
    <w:p w14:paraId="3DB98DAC" w14:textId="77777777" w:rsidR="001F625C" w:rsidRPr="00200ADF" w:rsidRDefault="001F625C" w:rsidP="001F625C">
      <w:r w:rsidRPr="00200ADF">
        <w:t>Jeżeli Wykonawca, powołuje się na zasoby podmiotów trzecich w celu wykazania spełniania warunków udziału w postępowaniu, składa także formularz JEDZ dotyczący tych podmiotów.</w:t>
      </w:r>
    </w:p>
    <w:p w14:paraId="127CD009" w14:textId="77777777" w:rsidR="001F625C" w:rsidRPr="00200ADF" w:rsidRDefault="001F625C" w:rsidP="001F625C">
      <w:r w:rsidRPr="00200ADF">
        <w:t>Numer sekcji: III.1.3</w:t>
      </w:r>
    </w:p>
    <w:p w14:paraId="5945A6DC" w14:textId="77777777" w:rsidR="001F625C" w:rsidRPr="00200ADF" w:rsidRDefault="001F625C" w:rsidP="001F625C">
      <w:r w:rsidRPr="00200ADF">
        <w:t xml:space="preserve">Zamiast: </w:t>
      </w:r>
    </w:p>
    <w:p w14:paraId="601F2B99" w14:textId="77777777" w:rsidR="001F625C" w:rsidRPr="00200ADF" w:rsidRDefault="001F625C" w:rsidP="001F625C">
      <w:r w:rsidRPr="00200ADF">
        <w:t>O udzielenie zamówienia mogą ubiegać się Wykonawcy, którzy wykażą, iż posiadają niezbędną wiedzę i doświadczenie, tj.: w okresie ostatnich 3 lat przed upływem terminu składania ofert o udzielenie zamówienia, a jeżeli okres prowadzenia działalności jest krótszy, w tym okresie – wykonał:</w:t>
      </w:r>
    </w:p>
    <w:p w14:paraId="26D87914" w14:textId="77777777" w:rsidR="001F625C" w:rsidRPr="00200ADF" w:rsidRDefault="001F625C" w:rsidP="001F625C">
      <w:r w:rsidRPr="00200ADF">
        <w:t>— co najmniej jedno zamówienie na dostawę urządzenia do przeprowadzania procesów zgazowania i pirolizy, oraz</w:t>
      </w:r>
    </w:p>
    <w:p w14:paraId="59A9CEB4" w14:textId="77777777" w:rsidR="001F625C" w:rsidRPr="00200ADF" w:rsidRDefault="001F625C" w:rsidP="001F625C">
      <w:r w:rsidRPr="00200ADF">
        <w:t>— co najmniej jedno zamówienie na dostawę urządzenia do badania aktywności katalizatorów,</w:t>
      </w:r>
    </w:p>
    <w:p w14:paraId="626BB272" w14:textId="77777777" w:rsidR="001F625C" w:rsidRPr="00200ADF" w:rsidRDefault="001F625C" w:rsidP="001F625C">
      <w:r w:rsidRPr="00200ADF">
        <w:t>o łącznej wartości minimum 500 000 PLN brutto.</w:t>
      </w:r>
    </w:p>
    <w:p w14:paraId="58A99E32" w14:textId="77777777" w:rsidR="001F625C" w:rsidRPr="00200ADF" w:rsidRDefault="001F625C" w:rsidP="001F625C">
      <w:r w:rsidRPr="00200ADF">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200ADF">
        <w:t>Pzp</w:t>
      </w:r>
      <w:proofErr w:type="spellEnd"/>
      <w:r w:rsidRPr="00200ADF">
        <w:t>.</w:t>
      </w:r>
    </w:p>
    <w:p w14:paraId="7E26DBBF" w14:textId="77777777" w:rsidR="001F625C" w:rsidRPr="00200ADF" w:rsidRDefault="001F625C" w:rsidP="001F625C">
      <w:r w:rsidRPr="00200ADF">
        <w:t>Wykonawca, który polega na zdolnościach lub sytuacji podmiotów udostępniających zasoby, zobowiązany jest:</w:t>
      </w:r>
    </w:p>
    <w:p w14:paraId="33C92AB2" w14:textId="77777777" w:rsidR="001F625C" w:rsidRPr="00200ADF" w:rsidRDefault="001F625C" w:rsidP="001F625C">
      <w:r w:rsidRPr="00200ADF">
        <w:t>1) 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4777AF54" w14:textId="77777777" w:rsidR="001F625C" w:rsidRPr="00200ADF" w:rsidRDefault="001F625C" w:rsidP="001F625C">
      <w:r w:rsidRPr="00200ADF">
        <w:lastRenderedPageBreak/>
        <w:t>a) zakres dostępnych Wykonawcy zasobów podmiotu udostępniającego zasoby;</w:t>
      </w:r>
    </w:p>
    <w:p w14:paraId="558DF9FD" w14:textId="77777777" w:rsidR="001F625C" w:rsidRPr="00200ADF" w:rsidRDefault="001F625C" w:rsidP="001F625C">
      <w:r w:rsidRPr="00200ADF">
        <w:t>b) sposób i okres udostępnienia Wykonawcy i wykorzystania przez niego zasobów podmiotu udostępniającego te zasoby przy wykonywaniu zamówienia;</w:t>
      </w:r>
    </w:p>
    <w:p w14:paraId="42BC3BE5" w14:textId="77777777" w:rsidR="001F625C" w:rsidRPr="00200ADF" w:rsidRDefault="001F625C" w:rsidP="001F625C">
      <w:r w:rsidRPr="00200ADF">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A52A9FD" w14:textId="77777777" w:rsidR="001F625C" w:rsidRPr="00200ADF" w:rsidRDefault="001F625C" w:rsidP="001F625C">
      <w:r w:rsidRPr="00200ADF">
        <w:t>2) 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w:t>
      </w:r>
    </w:p>
    <w:p w14:paraId="60503B08" w14:textId="77777777" w:rsidR="001F625C" w:rsidRPr="00200ADF" w:rsidRDefault="001F625C" w:rsidP="001F625C">
      <w:r w:rsidRPr="00200ADF">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9 SWZ.</w:t>
      </w:r>
    </w:p>
    <w:p w14:paraId="00F57FDF" w14:textId="77777777" w:rsidR="001F625C" w:rsidRPr="00200ADF" w:rsidRDefault="001F625C" w:rsidP="001F625C">
      <w:r w:rsidRPr="00200ADF">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653738F2" w14:textId="77777777" w:rsidR="001F625C" w:rsidRPr="00200ADF" w:rsidRDefault="001F625C" w:rsidP="001F625C">
      <w:r w:rsidRPr="00200ADF">
        <w:t xml:space="preserve">Powinno być: </w:t>
      </w:r>
    </w:p>
    <w:p w14:paraId="129078D4" w14:textId="77777777" w:rsidR="001F625C" w:rsidRPr="00200ADF" w:rsidRDefault="001F625C" w:rsidP="001F625C">
      <w:r w:rsidRPr="00200ADF">
        <w:t>O udzielenie zamówienia mogą ubiegać się Wykonawcy, którzy wykażą, iż posiadają niezbędną wiedzę i doświadczenie, tj.: w okresie ostatnich 3 lat przed upływem terminu składania ofert o udzielenie zamówienia, a jeżeli okres prowadzenia działalności jest krótszy, w tym okresie – wykonał:</w:t>
      </w:r>
    </w:p>
    <w:p w14:paraId="4B7824F2" w14:textId="77777777" w:rsidR="001F625C" w:rsidRPr="00200ADF" w:rsidRDefault="001F625C" w:rsidP="001F625C">
      <w:r w:rsidRPr="00200ADF">
        <w:t>— co najmniej jedno zamówienie na dostawę urządzenia do przeprowadzania procesów zgazowania i pirolizy, oraz</w:t>
      </w:r>
    </w:p>
    <w:p w14:paraId="5B2E4023" w14:textId="77777777" w:rsidR="001F625C" w:rsidRPr="00200ADF" w:rsidRDefault="001F625C" w:rsidP="001F625C">
      <w:r w:rsidRPr="00200ADF">
        <w:t>— co najmniej jedno zamówienie na dostawę urządzenia do badania aktywności katalizatorów.</w:t>
      </w:r>
    </w:p>
    <w:p w14:paraId="185F71F5" w14:textId="77777777" w:rsidR="001F625C" w:rsidRPr="00200ADF" w:rsidRDefault="001F625C" w:rsidP="001F625C">
      <w:r w:rsidRPr="00200ADF">
        <w:t>o łącznej wartości minimum 500 000 PLN brutto.</w:t>
      </w:r>
    </w:p>
    <w:p w14:paraId="20A3856B" w14:textId="77777777" w:rsidR="001F625C" w:rsidRPr="00200ADF" w:rsidRDefault="001F625C" w:rsidP="001F625C">
      <w:r w:rsidRPr="00200ADF">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200ADF">
        <w:t>Pzp</w:t>
      </w:r>
      <w:proofErr w:type="spellEnd"/>
      <w:r w:rsidRPr="00200ADF">
        <w:t>.</w:t>
      </w:r>
    </w:p>
    <w:p w14:paraId="3C42234D" w14:textId="77777777" w:rsidR="001F625C" w:rsidRPr="00200ADF" w:rsidRDefault="001F625C" w:rsidP="001F625C">
      <w:r w:rsidRPr="00200ADF">
        <w:lastRenderedPageBreak/>
        <w:t>Wykonawca, który polega na zdolnościach lub sytuacji podmiotów udostępniających zasoby, zobowiązany jest:</w:t>
      </w:r>
    </w:p>
    <w:p w14:paraId="50511B1C" w14:textId="77777777" w:rsidR="001F625C" w:rsidRPr="00200ADF" w:rsidRDefault="001F625C" w:rsidP="001F625C">
      <w:r w:rsidRPr="00200ADF">
        <w:t>1) 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5289EEB7" w14:textId="77777777" w:rsidR="001F625C" w:rsidRPr="00200ADF" w:rsidRDefault="001F625C" w:rsidP="001F625C">
      <w:r w:rsidRPr="00200ADF">
        <w:t>a) zakres dostępnych Wykonawcy zasobów podmiotu udostępniającego zasoby;</w:t>
      </w:r>
    </w:p>
    <w:p w14:paraId="1097D1C1" w14:textId="77777777" w:rsidR="001F625C" w:rsidRPr="00200ADF" w:rsidRDefault="001F625C" w:rsidP="001F625C">
      <w:r w:rsidRPr="00200ADF">
        <w:t>b) sposób i okres udostępnienia Wykonawcy i wykorzystania przez niego zasobów podmiotu udostępniającego te zasoby przy wykonywaniu zamówienia;</w:t>
      </w:r>
    </w:p>
    <w:p w14:paraId="2B56827A" w14:textId="77777777" w:rsidR="001F625C" w:rsidRPr="00200ADF" w:rsidRDefault="001F625C" w:rsidP="001F625C">
      <w:r w:rsidRPr="00200ADF">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0D83FFD" w14:textId="77777777" w:rsidR="001F625C" w:rsidRPr="00200ADF" w:rsidRDefault="001F625C" w:rsidP="001F625C">
      <w:r w:rsidRPr="00200ADF">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31B9331" w14:textId="77777777" w:rsidR="001F625C" w:rsidRPr="00200ADF" w:rsidRDefault="001F625C" w:rsidP="001F625C">
      <w:r w:rsidRPr="00200ADF">
        <w:t>Numer sekcji: VI.4.3</w:t>
      </w:r>
    </w:p>
    <w:p w14:paraId="03EAA72E" w14:textId="77777777" w:rsidR="001F625C" w:rsidRPr="00200ADF" w:rsidRDefault="001F625C" w:rsidP="001F625C">
      <w:r w:rsidRPr="00200ADF">
        <w:t xml:space="preserve">Zamiast: </w:t>
      </w:r>
    </w:p>
    <w:p w14:paraId="5C1C443C" w14:textId="77777777" w:rsidR="001F625C" w:rsidRPr="00200ADF" w:rsidRDefault="001F625C" w:rsidP="001F625C">
      <w:r w:rsidRPr="00200ADF">
        <w:t>1. 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4372984D" w14:textId="77777777" w:rsidR="001F625C" w:rsidRPr="00200ADF" w:rsidRDefault="001F625C" w:rsidP="001F625C">
      <w:r w:rsidRPr="00200ADF">
        <w:t>2. Odwołanie przysługuje na:</w:t>
      </w:r>
    </w:p>
    <w:p w14:paraId="1E498808" w14:textId="77777777" w:rsidR="001F625C" w:rsidRPr="00200ADF" w:rsidRDefault="001F625C" w:rsidP="001F625C">
      <w:r w:rsidRPr="00200ADF">
        <w:t>1) niezgodną z przepisami ustawy czynność zamawiającego, podjętą w postępowaniu o udzielenie zamówienia, w tym na projektowane postanowienie umowy;</w:t>
      </w:r>
    </w:p>
    <w:p w14:paraId="05F46E61" w14:textId="77777777" w:rsidR="001F625C" w:rsidRPr="00200ADF" w:rsidRDefault="001F625C" w:rsidP="001F625C">
      <w:r w:rsidRPr="00200ADF">
        <w:t>2) zaniechanie czynności w postępowaniu o udzielenie zamówienia, do której zamawiający był obowiązany na podstawie ustawy;</w:t>
      </w:r>
    </w:p>
    <w:p w14:paraId="0D3B400E" w14:textId="77777777" w:rsidR="001F625C" w:rsidRPr="00200ADF" w:rsidRDefault="001F625C" w:rsidP="001F625C">
      <w:r w:rsidRPr="00200ADF">
        <w:lastRenderedPageBreak/>
        <w:t>3) zaniechanie przeprowadzenia postępowania o udzielenie zamówienia na podstawie ustawy, mimo że zamawiający był do tego obowiązany.</w:t>
      </w:r>
    </w:p>
    <w:p w14:paraId="35151122" w14:textId="77777777" w:rsidR="001F625C" w:rsidRPr="00200ADF" w:rsidRDefault="001F625C" w:rsidP="001F625C">
      <w:r w:rsidRPr="00200ADF">
        <w:t>3. 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43F1A19" w14:textId="77777777" w:rsidR="001F625C" w:rsidRPr="00200ADF" w:rsidRDefault="001F625C" w:rsidP="001F625C">
      <w:r w:rsidRPr="00200ADF">
        <w:t>4. Odwołanie wnosi się w terminie:</w:t>
      </w:r>
    </w:p>
    <w:p w14:paraId="03D8F545" w14:textId="77777777" w:rsidR="001F625C" w:rsidRPr="00200ADF" w:rsidRDefault="001F625C" w:rsidP="001F625C">
      <w:r w:rsidRPr="00200ADF">
        <w:t>1) 10 dni od dnia przekazania informacji o czynności zamawiającego stanowiącej podstawę jego wniesienia, jeżeli informacja została przekazana przy użyciu środków komunikacji elektronicznej;</w:t>
      </w:r>
    </w:p>
    <w:p w14:paraId="354616C8" w14:textId="77777777" w:rsidR="001F625C" w:rsidRPr="00200ADF" w:rsidRDefault="001F625C" w:rsidP="001F625C">
      <w:r w:rsidRPr="00200ADF">
        <w:t>2) 15 dni od dnia przekazania informacji o czynności zamawiającego stanowiącej podstawę jego wniesienia, jeżeli informacja została przekazana w sposób inny niż określony w pkt 1.</w:t>
      </w:r>
    </w:p>
    <w:p w14:paraId="5CE4D1C5" w14:textId="77777777" w:rsidR="001F625C" w:rsidRPr="00200ADF" w:rsidRDefault="001F625C" w:rsidP="001F625C">
      <w:r w:rsidRPr="00200ADF">
        <w:t>5. 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5150479C" w14:textId="77777777" w:rsidR="001F625C" w:rsidRPr="00200ADF" w:rsidRDefault="001F625C" w:rsidP="001F625C">
      <w:r w:rsidRPr="00200ADF">
        <w:t>6. Odwołanie w przypadkach innych niż określone w ust. 4 i 5 wnosi się w terminie 10 dni od dnia, w którym powzięto lub przy zachowaniu należytej staranności można było powziąć wiadomość o okolicznościach stanowiących podstawę jego wniesienia.</w:t>
      </w:r>
    </w:p>
    <w:p w14:paraId="0FD80BBC" w14:textId="77777777" w:rsidR="001F625C" w:rsidRPr="00200ADF" w:rsidRDefault="001F625C" w:rsidP="001F625C">
      <w:r w:rsidRPr="00200ADF">
        <w:t>7. Na orzeczenie KIO oraz postanowienie Prezesa KIO stronom oraz uczestnikom postępowania odwoławczego przysługuje skarga do Sądu Okręgowego w Warszawie – sądu zamówień publicznych.</w:t>
      </w:r>
    </w:p>
    <w:p w14:paraId="6E46D986" w14:textId="77777777" w:rsidR="001F625C" w:rsidRPr="00200ADF" w:rsidRDefault="001F625C" w:rsidP="001F625C">
      <w:r w:rsidRPr="00200ADF">
        <w:t xml:space="preserve">Powinno być: </w:t>
      </w:r>
    </w:p>
    <w:p w14:paraId="2F13ECA8" w14:textId="77777777" w:rsidR="001F625C" w:rsidRPr="00200ADF" w:rsidRDefault="001F625C" w:rsidP="001F625C">
      <w:r w:rsidRPr="00200ADF">
        <w:t xml:space="preserve">1. Wykonawcy oraz innemu podmiotowi, jeżeli ma lub miał interes w uzyskaniu zamówienia oraz poniósł lub może ponieść szkodę w wyniku naruszenia przez zamawiającego przepisów ustawy, przysługują środki ochrony prawnej określone w dziale IX ustawy </w:t>
      </w:r>
      <w:proofErr w:type="spellStart"/>
      <w:r w:rsidRPr="00200ADF">
        <w:t>Pzp</w:t>
      </w:r>
      <w:proofErr w:type="spellEnd"/>
      <w:r w:rsidRPr="00200ADF">
        <w:t>.</w:t>
      </w:r>
    </w:p>
    <w:p w14:paraId="2A6AAFFD" w14:textId="77777777" w:rsidR="001F625C" w:rsidRPr="00200ADF" w:rsidRDefault="001F625C" w:rsidP="001F625C">
      <w:r w:rsidRPr="00200ADF">
        <w:t>2. Odwołanie przysługuje na:</w:t>
      </w:r>
    </w:p>
    <w:p w14:paraId="59EE5746" w14:textId="77777777" w:rsidR="001F625C" w:rsidRPr="00200ADF" w:rsidRDefault="001F625C" w:rsidP="001F625C">
      <w:r w:rsidRPr="00200ADF">
        <w:lastRenderedPageBreak/>
        <w:t>1) niezgodną z przepisami ustawy czynność zamawiającego, podjętą w postępowaniu o udzielenie zamówienia, w tym na projektowane postanowienie umowy;</w:t>
      </w:r>
    </w:p>
    <w:p w14:paraId="2796F485" w14:textId="77777777" w:rsidR="001F625C" w:rsidRPr="00200ADF" w:rsidRDefault="001F625C" w:rsidP="001F625C">
      <w:r w:rsidRPr="00200ADF">
        <w:t>2) zaniechanie czynności w postępowaniu o udzielenie zamówienia, do której zamawiający był obowiązany na podstawie ustawy.</w:t>
      </w:r>
    </w:p>
    <w:p w14:paraId="652F4EDB" w14:textId="77777777" w:rsidR="001F625C" w:rsidRPr="00200ADF" w:rsidRDefault="001F625C" w:rsidP="001F625C">
      <w:r w:rsidRPr="00200ADF">
        <w:t>3. 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2F11EC5" w14:textId="77777777" w:rsidR="001F625C" w:rsidRPr="00200ADF" w:rsidRDefault="001F625C" w:rsidP="001F625C">
      <w:r w:rsidRPr="00200ADF">
        <w:t>4. Odwołanie wnosi się w terminie:</w:t>
      </w:r>
    </w:p>
    <w:p w14:paraId="57364508" w14:textId="77777777" w:rsidR="001F625C" w:rsidRPr="00200ADF" w:rsidRDefault="001F625C" w:rsidP="001F625C">
      <w:r w:rsidRPr="00200ADF">
        <w:t>1) 10 dni od dnia przekazania informacji o czynności zamawiającego stanowiącej podstawę jego wniesienia, jeżeli informacja została przekazana przy użyciu środków komunikacji elektronicznej;</w:t>
      </w:r>
    </w:p>
    <w:p w14:paraId="58031919" w14:textId="77777777" w:rsidR="001F625C" w:rsidRPr="00200ADF" w:rsidRDefault="001F625C" w:rsidP="001F625C">
      <w:r w:rsidRPr="00200ADF">
        <w:t>2) 15 dni od dnia przekazania informacji o czynności zamawiającego stanowiącej podstawę jego wniesienia, jeżeli informacja została przekazana w sposób inny niż określony w pkt 1.</w:t>
      </w:r>
    </w:p>
    <w:p w14:paraId="09E6C215" w14:textId="77777777" w:rsidR="001F625C" w:rsidRPr="00200ADF" w:rsidRDefault="001F625C" w:rsidP="001F625C">
      <w:r w:rsidRPr="00200ADF">
        <w:t>5. 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74B0459D" w14:textId="77777777" w:rsidR="001F625C" w:rsidRPr="00200ADF" w:rsidRDefault="001F625C" w:rsidP="001F625C">
      <w:r w:rsidRPr="00200ADF">
        <w:t>6. Odwołanie w przypadkach innych niż określone w ust. 4 i 5 wnosi się w terminie 10 dni od dnia, w którym powzięto lub przy zachowaniu należytej staranności można było powziąć wiadomość o okolicznościach stanowiących podstawę jego wniesienia.</w:t>
      </w:r>
    </w:p>
    <w:p w14:paraId="296B9BC3" w14:textId="77777777" w:rsidR="001F625C" w:rsidRPr="00200ADF" w:rsidRDefault="001F625C" w:rsidP="001F625C">
      <w:r w:rsidRPr="00200ADF">
        <w:t>7. Na orzeczenie KIO oraz postanowienie Prezesa KIO stronom oraz uczestnikom postępowania odwoławczego przysługuje skarga do Sądu Okręgowego w Warszawie – sądu zamówień publicznych.</w:t>
      </w:r>
    </w:p>
    <w:p w14:paraId="204347E8" w14:textId="77777777" w:rsidR="001F625C" w:rsidRPr="00200ADF" w:rsidRDefault="001F625C" w:rsidP="001F625C">
      <w:r w:rsidRPr="00200ADF">
        <w:t>VII.2)</w:t>
      </w:r>
      <w:r w:rsidRPr="00200ADF">
        <w:rPr>
          <w:b/>
          <w:bCs/>
        </w:rPr>
        <w:t>Inne dodatkowe informacje:</w:t>
      </w:r>
    </w:p>
    <w:p w14:paraId="502A4E5F" w14:textId="77777777" w:rsidR="001F625C" w:rsidRDefault="001F625C" w:rsidP="001F625C"/>
    <w:p w14:paraId="4C2DCFD2" w14:textId="77777777" w:rsidR="00F8425D" w:rsidRPr="001F625C" w:rsidRDefault="00F8425D" w:rsidP="001F625C"/>
    <w:sectPr w:rsidR="00F8425D" w:rsidRPr="001F625C" w:rsidSect="00601A86">
      <w:headerReference w:type="even" r:id="rId16"/>
      <w:headerReference w:type="default" r:id="rId17"/>
      <w:footerReference w:type="even" r:id="rId18"/>
      <w:footerReference w:type="default" r:id="rId19"/>
      <w:headerReference w:type="first" r:id="rId20"/>
      <w:footerReference w:type="first" r:id="rId21"/>
      <w:pgSz w:w="11906" w:h="16838" w:code="9"/>
      <w:pgMar w:top="2835" w:right="1134" w:bottom="1701" w:left="3345"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E52FB" w14:textId="77777777" w:rsidR="00C10DFF" w:rsidRDefault="00C10DFF">
      <w:r>
        <w:separator/>
      </w:r>
    </w:p>
  </w:endnote>
  <w:endnote w:type="continuationSeparator" w:id="0">
    <w:p w14:paraId="23048BDB" w14:textId="77777777" w:rsidR="00C10DFF" w:rsidRDefault="00C1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EC6DE" w14:textId="77777777" w:rsidR="00D02595" w:rsidRDefault="00D02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3C01601" w14:textId="77777777" w:rsidR="00D02595" w:rsidRDefault="00D0259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82C22" w14:textId="77777777" w:rsidR="00D02595" w:rsidRDefault="00D02595">
    <w:pPr>
      <w:pStyle w:val="Stopka"/>
      <w:tabs>
        <w:tab w:val="clear" w:pos="4536"/>
      </w:tabs>
      <w:jc w:val="center"/>
    </w:pPr>
    <w:r>
      <w:rPr>
        <w:noProof/>
      </w:rPr>
      <w:pict w14:anchorId="73681531">
        <v:line id="_x0000_s2049" style="position:absolute;left:0;text-align:left;z-index:251657728" from="-3.85pt,8.7pt" to="455.15pt,8.7pt"/>
      </w:pict>
    </w:r>
  </w:p>
  <w:p w14:paraId="5C91EBCB" w14:textId="77777777" w:rsidR="00D02595" w:rsidRDefault="00D02595">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615527">
      <w:rPr>
        <w:rStyle w:val="Numerstrony"/>
        <w:rFonts w:ascii="Arial" w:hAnsi="Arial"/>
        <w:noProof/>
        <w:sz w:val="18"/>
        <w:szCs w:val="18"/>
      </w:rPr>
      <w:t>2</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615527">
      <w:rPr>
        <w:rStyle w:val="Numerstrony"/>
        <w:rFonts w:ascii="Arial" w:hAnsi="Arial"/>
        <w:noProof/>
        <w:sz w:val="18"/>
        <w:szCs w:val="18"/>
      </w:rPr>
      <w:t>2</w:t>
    </w:r>
    <w:r>
      <w:rPr>
        <w:rStyle w:val="Numerstrony"/>
        <w:rFonts w:ascii="Arial" w:hAnsi="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916ED" w14:textId="77777777" w:rsidR="00601A86" w:rsidRDefault="00601A86" w:rsidP="00601A86">
    <w:pPr>
      <w:pStyle w:val="Stopka"/>
      <w:rPr>
        <w:rFonts w:ascii="Verdana" w:hAnsi="Verdana" w:cs="Arial"/>
        <w:b/>
        <w:sz w:val="14"/>
        <w:szCs w:val="14"/>
      </w:rPr>
    </w:pPr>
    <w:r w:rsidRPr="00633BD9">
      <w:rPr>
        <w:rFonts w:ascii="Verdana" w:hAnsi="Verdana" w:cs="Arial"/>
        <w:b/>
        <w:sz w:val="14"/>
        <w:szCs w:val="14"/>
      </w:rPr>
      <w:t xml:space="preserve">Akademia Górniczo–Hutnicza | </w:t>
    </w:r>
    <w:r>
      <w:rPr>
        <w:rFonts w:ascii="Verdana" w:hAnsi="Verdana" w:cs="Arial"/>
        <w:b/>
        <w:sz w:val="14"/>
        <w:szCs w:val="14"/>
      </w:rPr>
      <w:t xml:space="preserve">Pion Kanclerza, </w:t>
    </w:r>
    <w:r w:rsidRPr="00633BD9">
      <w:rPr>
        <w:rFonts w:ascii="Verdana" w:hAnsi="Verdana" w:cs="Arial"/>
        <w:b/>
        <w:sz w:val="14"/>
        <w:szCs w:val="14"/>
      </w:rPr>
      <w:t xml:space="preserve">Dział Zamówień </w:t>
    </w:r>
    <w:r>
      <w:rPr>
        <w:rFonts w:ascii="Verdana" w:hAnsi="Verdana" w:cs="Arial"/>
        <w:b/>
        <w:sz w:val="14"/>
        <w:szCs w:val="14"/>
      </w:rPr>
      <w:t>Publicznych</w:t>
    </w:r>
  </w:p>
  <w:p w14:paraId="28714636" w14:textId="77777777" w:rsidR="00601A86" w:rsidRDefault="00601A86" w:rsidP="00601A86">
    <w:pPr>
      <w:pStyle w:val="Stopka"/>
      <w:rPr>
        <w:rFonts w:ascii="Verdana" w:hAnsi="Verdana" w:cs="Arial"/>
        <w:sz w:val="14"/>
        <w:szCs w:val="14"/>
      </w:rPr>
    </w:pPr>
  </w:p>
  <w:p w14:paraId="1C9F3D5E" w14:textId="77777777" w:rsidR="00601A86" w:rsidRPr="00633BD9" w:rsidRDefault="00601A86" w:rsidP="00601A86">
    <w:pPr>
      <w:pStyle w:val="Stopka"/>
      <w:rPr>
        <w:rFonts w:ascii="Verdana" w:hAnsi="Verdana" w:cs="Arial"/>
        <w:sz w:val="14"/>
        <w:szCs w:val="14"/>
        <w:lang w:val="de-DE"/>
      </w:rPr>
    </w:pPr>
    <w:r w:rsidRPr="00633BD9">
      <w:rPr>
        <w:rFonts w:ascii="Verdana" w:hAnsi="Verdana" w:cs="Arial"/>
        <w:sz w:val="14"/>
        <w:szCs w:val="14"/>
      </w:rPr>
      <w:t xml:space="preserve">al. A. Mickiewicza 30, 30–059 Kraków, tel. </w:t>
    </w:r>
    <w:r w:rsidRPr="00633BD9">
      <w:rPr>
        <w:rFonts w:ascii="Verdana" w:hAnsi="Verdana" w:cs="Arial"/>
        <w:sz w:val="14"/>
        <w:szCs w:val="14"/>
        <w:lang w:val="de-DE"/>
      </w:rPr>
      <w:t>+48 12 617 35 95, fax +48 12 617 35 95</w:t>
    </w:r>
  </w:p>
  <w:p w14:paraId="2401F805" w14:textId="77777777" w:rsidR="00601A86" w:rsidRPr="00633BD9" w:rsidRDefault="00601A86" w:rsidP="00601A86">
    <w:pPr>
      <w:pStyle w:val="Stopka"/>
      <w:rPr>
        <w:rFonts w:ascii="Verdana" w:hAnsi="Verdana"/>
        <w:sz w:val="14"/>
        <w:szCs w:val="14"/>
        <w:lang w:val="de-DE"/>
      </w:rPr>
    </w:pPr>
    <w:r w:rsidRPr="00633BD9">
      <w:rPr>
        <w:rFonts w:ascii="Verdana" w:hAnsi="Verdana"/>
        <w:sz w:val="14"/>
        <w:szCs w:val="14"/>
        <w:lang w:val="de-DE"/>
      </w:rPr>
      <w:t xml:space="preserve">e–mail: dzp@agh.edu.pl, www.dzp.agh.edu.pl </w:t>
    </w:r>
  </w:p>
  <w:p w14:paraId="7A94AC7B" w14:textId="77777777" w:rsidR="00601A86" w:rsidRPr="00633BD9" w:rsidRDefault="00601A86" w:rsidP="00601A86">
    <w:pPr>
      <w:pStyle w:val="Stopka"/>
      <w:rPr>
        <w:rFonts w:ascii="Verdana" w:hAnsi="Verdana"/>
        <w:sz w:val="14"/>
        <w:szCs w:val="14"/>
      </w:rPr>
    </w:pPr>
    <w:r w:rsidRPr="00633BD9">
      <w:rPr>
        <w:rFonts w:ascii="Verdana" w:hAnsi="Verdana"/>
        <w:sz w:val="14"/>
        <w:szCs w:val="14"/>
      </w:rPr>
      <w:t>Nr rachunku PEKAO S.A. 96 1240 4722 1111 0000 4858 2922</w:t>
    </w:r>
  </w:p>
  <w:p w14:paraId="34A9F4A1" w14:textId="77777777" w:rsidR="00601A86" w:rsidRPr="00633BD9" w:rsidRDefault="00601A86" w:rsidP="00601A86">
    <w:pPr>
      <w:pStyle w:val="Stopka"/>
      <w:rPr>
        <w:rFonts w:ascii="Verdana" w:hAnsi="Verdana"/>
        <w:sz w:val="14"/>
        <w:szCs w:val="14"/>
      </w:rPr>
    </w:pPr>
    <w:r w:rsidRPr="00633BD9">
      <w:rPr>
        <w:rFonts w:ascii="Verdana" w:hAnsi="Verdana"/>
        <w:sz w:val="14"/>
        <w:szCs w:val="14"/>
      </w:rPr>
      <w:t>REGON 0</w:t>
    </w:r>
    <w:r>
      <w:rPr>
        <w:rFonts w:ascii="Verdana" w:hAnsi="Verdana"/>
        <w:sz w:val="14"/>
        <w:szCs w:val="14"/>
      </w:rPr>
      <w:t>0</w:t>
    </w:r>
    <w:r w:rsidRPr="00633BD9">
      <w:rPr>
        <w:rFonts w:ascii="Verdana" w:hAnsi="Verdana"/>
        <w:sz w:val="14"/>
        <w:szCs w:val="14"/>
      </w:rPr>
      <w:t>0001577, NIP 6750001923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DB981" w14:textId="77777777" w:rsidR="00C10DFF" w:rsidRDefault="00C10DFF">
      <w:r>
        <w:separator/>
      </w:r>
    </w:p>
  </w:footnote>
  <w:footnote w:type="continuationSeparator" w:id="0">
    <w:p w14:paraId="6FB067D3" w14:textId="77777777" w:rsidR="00C10DFF" w:rsidRDefault="00C10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680FE" w14:textId="77777777" w:rsidR="00ED7D0B" w:rsidRDefault="00ED7D0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7745D" w14:textId="77777777" w:rsidR="00601A86" w:rsidRDefault="00601A86" w:rsidP="00601A86">
    <w:pPr>
      <w:pStyle w:val="Nagwek"/>
      <w:tabs>
        <w:tab w:val="left" w:pos="0"/>
      </w:tabs>
      <w:ind w:hanging="1560"/>
    </w:pPr>
    <w:r>
      <w:pict w14:anchorId="75204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80.25pt">
          <v:imagedata r:id="rId1" o:title="logo agh orygina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481D9" w14:textId="77777777" w:rsidR="00601A86" w:rsidRPr="00FF1984" w:rsidRDefault="00601A86" w:rsidP="00601A86">
    <w:pPr>
      <w:tabs>
        <w:tab w:val="center" w:pos="4536"/>
        <w:tab w:val="right" w:pos="7371"/>
        <w:tab w:val="right" w:pos="9072"/>
      </w:tabs>
      <w:ind w:hanging="1457"/>
      <w:rPr>
        <w:rFonts w:ascii="Verdana" w:hAnsi="Verdana"/>
        <w:noProof/>
        <w:sz w:val="26"/>
        <w:szCs w:val="26"/>
      </w:rPr>
    </w:pPr>
    <w:r w:rsidRPr="00FF1984">
      <w:rPr>
        <w:rFonts w:ascii="Verdana" w:hAnsi="Verdana"/>
        <w:noProof/>
        <w:sz w:val="26"/>
        <w:szCs w:val="26"/>
      </w:rPr>
      <w:pict w14:anchorId="7B01EE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209.25pt;height:107.25pt;visibility:visible">
          <v:imagedata r:id="rId1" o:title="logo agh firmówka"/>
        </v:shape>
      </w:pict>
    </w:r>
  </w:p>
  <w:p w14:paraId="5BF62411" w14:textId="77777777" w:rsidR="00601A86" w:rsidRPr="00FF1984" w:rsidRDefault="00601A86" w:rsidP="00601A86">
    <w:pPr>
      <w:tabs>
        <w:tab w:val="center" w:pos="4536"/>
        <w:tab w:val="right" w:pos="7371"/>
        <w:tab w:val="right" w:pos="9072"/>
      </w:tabs>
      <w:ind w:hanging="1560"/>
      <w:rPr>
        <w:rFonts w:ascii="Verdana" w:hAnsi="Verdana"/>
        <w:noProof/>
        <w:sz w:val="26"/>
        <w:szCs w:val="26"/>
      </w:rPr>
    </w:pPr>
  </w:p>
  <w:p w14:paraId="0CD28FE6" w14:textId="77777777" w:rsidR="00601A86" w:rsidRPr="00FF1984" w:rsidRDefault="00601A86" w:rsidP="00601A86">
    <w:pPr>
      <w:tabs>
        <w:tab w:val="center" w:pos="4536"/>
        <w:tab w:val="right" w:pos="7371"/>
        <w:tab w:val="right" w:pos="9072"/>
      </w:tabs>
      <w:rPr>
        <w:rFonts w:ascii="Verdana" w:hAnsi="Verdana"/>
        <w:sz w:val="26"/>
        <w:szCs w:val="26"/>
      </w:rPr>
    </w:pPr>
    <w:r>
      <w:rPr>
        <w:rFonts w:ascii="Verdana" w:hAnsi="Verdana"/>
        <w:sz w:val="26"/>
        <w:szCs w:val="26"/>
      </w:rPr>
      <w:t xml:space="preserve">Pion </w:t>
    </w:r>
    <w:r w:rsidRPr="00FF1984">
      <w:rPr>
        <w:rFonts w:ascii="Verdana" w:hAnsi="Verdana"/>
        <w:sz w:val="26"/>
        <w:szCs w:val="26"/>
      </w:rPr>
      <w:t>Kanclerz</w:t>
    </w:r>
    <w:r>
      <w:rPr>
        <w:rFonts w:ascii="Verdana" w:hAnsi="Verdana"/>
        <w:sz w:val="26"/>
        <w:szCs w:val="26"/>
      </w:rPr>
      <w:t>a</w:t>
    </w:r>
  </w:p>
  <w:p w14:paraId="04E7175E" w14:textId="77777777" w:rsidR="00601A86" w:rsidRPr="00FF1984" w:rsidRDefault="00601A86" w:rsidP="00601A86">
    <w:pPr>
      <w:tabs>
        <w:tab w:val="center" w:pos="4536"/>
        <w:tab w:val="right" w:pos="7371"/>
        <w:tab w:val="right" w:pos="9072"/>
      </w:tabs>
      <w:rPr>
        <w:rFonts w:ascii="Verdana" w:hAnsi="Verdana"/>
        <w:sz w:val="16"/>
        <w:szCs w:val="16"/>
      </w:rPr>
    </w:pPr>
    <w:r w:rsidRPr="00FF1984">
      <w:rPr>
        <w:rFonts w:ascii="Verdana" w:hAnsi="Verdana"/>
        <w:sz w:val="26"/>
        <w:szCs w:val="26"/>
      </w:rPr>
      <w:t xml:space="preserve">Dział Zamówień Publicznych </w:t>
    </w:r>
  </w:p>
  <w:p w14:paraId="30781617" w14:textId="77777777" w:rsidR="00601A86" w:rsidRPr="00FF1984" w:rsidRDefault="00601A86" w:rsidP="00601A86">
    <w:pPr>
      <w:tabs>
        <w:tab w:val="center" w:pos="4536"/>
        <w:tab w:val="right" w:pos="7371"/>
        <w:tab w:val="right" w:pos="9072"/>
      </w:tabs>
      <w:rPr>
        <w:rFonts w:ascii="Verdana" w:hAnsi="Verdana"/>
        <w:sz w:val="16"/>
        <w:szCs w:val="16"/>
      </w:rPr>
    </w:pPr>
  </w:p>
  <w:p w14:paraId="09F438E4" w14:textId="77777777" w:rsidR="00601A86" w:rsidRPr="00FF1984" w:rsidRDefault="00601A86" w:rsidP="00601A86">
    <w:pPr>
      <w:tabs>
        <w:tab w:val="center" w:pos="4536"/>
        <w:tab w:val="right" w:pos="7371"/>
        <w:tab w:val="right" w:pos="9072"/>
      </w:tabs>
      <w:rPr>
        <w:rFonts w:ascii="Verdana" w:hAnsi="Verdana"/>
        <w:sz w:val="2"/>
        <w:szCs w:val="2"/>
      </w:rPr>
    </w:pPr>
  </w:p>
  <w:p w14:paraId="79372FB5" w14:textId="77777777" w:rsidR="00601A86" w:rsidRPr="00FF1984" w:rsidRDefault="00601A86" w:rsidP="00601A86">
    <w:pPr>
      <w:tabs>
        <w:tab w:val="center" w:pos="4536"/>
        <w:tab w:val="right" w:pos="7371"/>
        <w:tab w:val="right" w:pos="9072"/>
      </w:tabs>
      <w:rPr>
        <w:rFonts w:ascii="Verdana" w:hAnsi="Verdana"/>
        <w:sz w:val="2"/>
        <w:szCs w:val="2"/>
      </w:rPr>
    </w:pPr>
  </w:p>
  <w:p w14:paraId="552E2B63" w14:textId="77777777" w:rsidR="00601A86" w:rsidRPr="00FF1984" w:rsidRDefault="00601A86" w:rsidP="00601A86">
    <w:pPr>
      <w:tabs>
        <w:tab w:val="center" w:pos="4536"/>
        <w:tab w:val="right" w:pos="7371"/>
        <w:tab w:val="right" w:pos="9072"/>
      </w:tabs>
      <w:rPr>
        <w:rFonts w:ascii="Verdana" w:hAnsi="Verdana"/>
        <w:sz w:val="2"/>
        <w:szCs w:val="2"/>
      </w:rPr>
    </w:pPr>
  </w:p>
  <w:p w14:paraId="67435FE3" w14:textId="77777777" w:rsidR="00601A86" w:rsidRPr="00FF1984" w:rsidRDefault="00601A86" w:rsidP="00601A86">
    <w:pPr>
      <w:tabs>
        <w:tab w:val="center" w:pos="4536"/>
        <w:tab w:val="right" w:pos="7371"/>
        <w:tab w:val="right" w:pos="9072"/>
      </w:tabs>
      <w:rPr>
        <w:rFonts w:ascii="Verdana" w:hAnsi="Verdana"/>
        <w:sz w:val="2"/>
        <w:szCs w:val="2"/>
      </w:rPr>
    </w:pPr>
  </w:p>
  <w:p w14:paraId="1EC26906" w14:textId="77777777" w:rsidR="00601A86" w:rsidRPr="00FF1984" w:rsidRDefault="00601A86" w:rsidP="00601A86">
    <w:pPr>
      <w:tabs>
        <w:tab w:val="center" w:pos="4536"/>
        <w:tab w:val="right" w:pos="7371"/>
        <w:tab w:val="right" w:pos="9072"/>
      </w:tabs>
      <w:rPr>
        <w:rFonts w:ascii="Verdana" w:hAnsi="Verdana"/>
        <w:sz w:val="2"/>
        <w:szCs w:val="2"/>
      </w:rPr>
    </w:pPr>
  </w:p>
  <w:p w14:paraId="2343D1B0" w14:textId="77777777" w:rsidR="00601A86" w:rsidRPr="00FF1984" w:rsidRDefault="00601A86" w:rsidP="00601A86">
    <w:pPr>
      <w:tabs>
        <w:tab w:val="center" w:pos="4536"/>
        <w:tab w:val="right" w:pos="7371"/>
        <w:tab w:val="right" w:pos="9072"/>
      </w:tabs>
      <w:rPr>
        <w:rFonts w:ascii="Verdana" w:hAnsi="Verdana"/>
        <w:sz w:val="2"/>
        <w:szCs w:val="2"/>
      </w:rPr>
    </w:pPr>
  </w:p>
  <w:p w14:paraId="7BD023DA" w14:textId="77777777" w:rsidR="00601A86" w:rsidRPr="00FF1984" w:rsidRDefault="00601A86" w:rsidP="00601A86">
    <w:pPr>
      <w:tabs>
        <w:tab w:val="center" w:pos="4536"/>
        <w:tab w:val="right" w:pos="7371"/>
        <w:tab w:val="right" w:pos="9072"/>
      </w:tabs>
      <w:rPr>
        <w:rFonts w:ascii="Verdana" w:hAnsi="Verdana"/>
        <w:sz w:val="2"/>
        <w:szCs w:val="2"/>
      </w:rPr>
    </w:pPr>
  </w:p>
  <w:p w14:paraId="7AFC5701" w14:textId="77777777" w:rsidR="00601A86" w:rsidRPr="00FF1984" w:rsidRDefault="00601A86" w:rsidP="00601A86">
    <w:pPr>
      <w:tabs>
        <w:tab w:val="center" w:pos="4536"/>
        <w:tab w:val="right" w:pos="7371"/>
        <w:tab w:val="right" w:pos="9072"/>
      </w:tabs>
      <w:rPr>
        <w:rFonts w:ascii="Verdana" w:hAnsi="Verdana"/>
        <w:sz w:val="2"/>
        <w:szCs w:val="2"/>
      </w:rPr>
    </w:pPr>
  </w:p>
  <w:p w14:paraId="3DA2C876" w14:textId="77777777" w:rsidR="00601A86" w:rsidRPr="00FF1984" w:rsidRDefault="00601A86" w:rsidP="00601A86">
    <w:pPr>
      <w:tabs>
        <w:tab w:val="center" w:pos="4536"/>
        <w:tab w:val="right" w:pos="7371"/>
        <w:tab w:val="right" w:pos="9072"/>
      </w:tabs>
      <w:rPr>
        <w:rFonts w:ascii="Verdana" w:hAnsi="Verdana"/>
        <w:sz w:val="2"/>
        <w:szCs w:val="2"/>
      </w:rPr>
    </w:pPr>
  </w:p>
  <w:p w14:paraId="28F11D87" w14:textId="77777777" w:rsidR="00601A86" w:rsidRPr="00FF1984" w:rsidRDefault="00601A86" w:rsidP="00601A86">
    <w:pPr>
      <w:tabs>
        <w:tab w:val="center" w:pos="4536"/>
        <w:tab w:val="right" w:pos="7371"/>
        <w:tab w:val="right" w:pos="9072"/>
      </w:tabs>
      <w:rPr>
        <w:rFonts w:ascii="Verdana" w:hAnsi="Verdana"/>
        <w:sz w:val="2"/>
        <w:szCs w:val="2"/>
      </w:rPr>
    </w:pPr>
  </w:p>
  <w:p w14:paraId="45068288" w14:textId="77777777" w:rsidR="00601A86" w:rsidRPr="00FF1984" w:rsidRDefault="00601A86" w:rsidP="00601A86">
    <w:pPr>
      <w:tabs>
        <w:tab w:val="center" w:pos="4536"/>
        <w:tab w:val="right" w:pos="7371"/>
        <w:tab w:val="right" w:pos="9072"/>
      </w:tabs>
      <w:rPr>
        <w:rFonts w:ascii="Verdana" w:hAnsi="Verdana"/>
        <w:sz w:val="2"/>
        <w:szCs w:val="2"/>
      </w:rPr>
    </w:pPr>
  </w:p>
  <w:p w14:paraId="25CA87FB" w14:textId="77777777" w:rsidR="00601A86" w:rsidRPr="00FF1984" w:rsidRDefault="00601A86" w:rsidP="00601A86">
    <w:pPr>
      <w:tabs>
        <w:tab w:val="center" w:pos="4536"/>
        <w:tab w:val="right" w:pos="7371"/>
        <w:tab w:val="right" w:pos="9072"/>
      </w:tabs>
      <w:rPr>
        <w:rFonts w:ascii="Verdana" w:hAnsi="Verdana"/>
        <w:sz w:val="16"/>
        <w:szCs w:val="16"/>
      </w:rPr>
    </w:pPr>
  </w:p>
  <w:p w14:paraId="65CF633A" w14:textId="77777777" w:rsidR="00601A86" w:rsidRPr="00FF1984" w:rsidRDefault="00601A86" w:rsidP="00601A86">
    <w:pPr>
      <w:tabs>
        <w:tab w:val="center" w:pos="4536"/>
        <w:tab w:val="right" w:pos="7371"/>
        <w:tab w:val="right" w:pos="9072"/>
      </w:tabs>
      <w:rPr>
        <w:rFonts w:ascii="Verdana" w:hAnsi="Verdana"/>
        <w:sz w:val="16"/>
        <w:szCs w:val="16"/>
      </w:rPr>
    </w:pPr>
  </w:p>
  <w:p w14:paraId="601E8701" w14:textId="77777777" w:rsidR="00601A86" w:rsidRPr="00FF1984" w:rsidRDefault="00601A86" w:rsidP="00601A86">
    <w:pPr>
      <w:tabs>
        <w:tab w:val="center" w:pos="4536"/>
        <w:tab w:val="right" w:pos="7371"/>
        <w:tab w:val="right" w:pos="9072"/>
      </w:tabs>
      <w:rPr>
        <w:rFonts w:ascii="Verdana" w:hAnsi="Verdana"/>
        <w:sz w:val="16"/>
        <w:szCs w:val="16"/>
      </w:rPr>
    </w:pPr>
  </w:p>
  <w:p w14:paraId="0E2E1087" w14:textId="77777777" w:rsidR="00601A86" w:rsidRPr="00FF1984" w:rsidRDefault="00601A86" w:rsidP="00601A86">
    <w:pPr>
      <w:tabs>
        <w:tab w:val="center" w:pos="4536"/>
        <w:tab w:val="right" w:pos="7371"/>
        <w:tab w:val="right" w:pos="9072"/>
      </w:tabs>
      <w:rPr>
        <w:rFonts w:ascii="Verdana" w:hAnsi="Verdana"/>
        <w:sz w:val="4"/>
        <w:szCs w:val="4"/>
      </w:rPr>
    </w:pPr>
  </w:p>
  <w:p w14:paraId="183CB262" w14:textId="77777777" w:rsidR="00601A86" w:rsidRPr="00FF1984" w:rsidRDefault="00601A86" w:rsidP="00601A86">
    <w:pPr>
      <w:tabs>
        <w:tab w:val="center" w:pos="4536"/>
        <w:tab w:val="right" w:pos="7371"/>
        <w:tab w:val="right" w:pos="9072"/>
      </w:tabs>
      <w:rPr>
        <w:rFonts w:ascii="Verdana" w:hAnsi="Verdana"/>
        <w:sz w:val="4"/>
        <w:szCs w:val="4"/>
      </w:rPr>
    </w:pPr>
  </w:p>
  <w:p w14:paraId="6B941AF0" w14:textId="77777777" w:rsidR="00601A86" w:rsidRPr="00FF1984" w:rsidRDefault="00601A86" w:rsidP="00601A86">
    <w:pPr>
      <w:tabs>
        <w:tab w:val="center" w:pos="4536"/>
        <w:tab w:val="right" w:pos="7371"/>
        <w:tab w:val="right" w:pos="9072"/>
      </w:tabs>
      <w:rPr>
        <w:rFonts w:ascii="Verdana" w:hAnsi="Verdana"/>
        <w:sz w:val="4"/>
        <w:szCs w:val="4"/>
      </w:rPr>
    </w:pPr>
  </w:p>
  <w:p w14:paraId="2BDA5204" w14:textId="77777777" w:rsidR="00601A86" w:rsidRPr="00FF1984" w:rsidRDefault="00601A86" w:rsidP="00601A86">
    <w:pPr>
      <w:tabs>
        <w:tab w:val="center" w:pos="4536"/>
        <w:tab w:val="right" w:pos="7371"/>
        <w:tab w:val="right" w:pos="9072"/>
      </w:tabs>
      <w:rPr>
        <w:rFonts w:ascii="Verdana" w:hAnsi="Verdana"/>
        <w:sz w:val="4"/>
        <w:szCs w:val="4"/>
      </w:rPr>
    </w:pPr>
  </w:p>
  <w:p w14:paraId="71891B6C" w14:textId="77777777" w:rsidR="00601A86" w:rsidRPr="00FF1984" w:rsidRDefault="00601A86" w:rsidP="00601A86">
    <w:pPr>
      <w:tabs>
        <w:tab w:val="center" w:pos="4536"/>
        <w:tab w:val="right" w:pos="7371"/>
        <w:tab w:val="right" w:pos="9072"/>
      </w:tabs>
      <w:rPr>
        <w:rFonts w:ascii="Verdana" w:hAnsi="Verdana"/>
        <w:sz w:val="4"/>
        <w:szCs w:val="4"/>
      </w:rPr>
    </w:pPr>
  </w:p>
  <w:p w14:paraId="33EDF260" w14:textId="77777777" w:rsidR="00601A86" w:rsidRDefault="00601A86" w:rsidP="00601A86">
    <w:pPr>
      <w:pStyle w:val="Nagwek"/>
    </w:pPr>
  </w:p>
  <w:p w14:paraId="4A781555" w14:textId="77777777" w:rsidR="00601A86" w:rsidRDefault="00601A8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3"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4"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5"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7"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8"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5AB23133"/>
    <w:multiLevelType w:val="multilevel"/>
    <w:tmpl w:val="6DE2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11"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7"/>
  </w:num>
  <w:num w:numId="4">
    <w:abstractNumId w:val="11"/>
  </w:num>
  <w:num w:numId="5">
    <w:abstractNumId w:val="3"/>
  </w:num>
  <w:num w:numId="6">
    <w:abstractNumId w:val="4"/>
  </w:num>
  <w:num w:numId="7">
    <w:abstractNumId w:val="10"/>
  </w:num>
  <w:num w:numId="8">
    <w:abstractNumId w:val="6"/>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13"/>
  </w:num>
  <w:num w:numId="13">
    <w:abstractNumId w:val="0"/>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0DFF"/>
    <w:rsid w:val="000A61B9"/>
    <w:rsid w:val="000B6C6C"/>
    <w:rsid w:val="001615ED"/>
    <w:rsid w:val="001F625C"/>
    <w:rsid w:val="00211651"/>
    <w:rsid w:val="00226741"/>
    <w:rsid w:val="002271C8"/>
    <w:rsid w:val="00256269"/>
    <w:rsid w:val="003070D1"/>
    <w:rsid w:val="00346292"/>
    <w:rsid w:val="00363BFA"/>
    <w:rsid w:val="0043058F"/>
    <w:rsid w:val="00437350"/>
    <w:rsid w:val="00470DD1"/>
    <w:rsid w:val="004D42F1"/>
    <w:rsid w:val="00546D74"/>
    <w:rsid w:val="005C772F"/>
    <w:rsid w:val="005E7BB1"/>
    <w:rsid w:val="00601A86"/>
    <w:rsid w:val="00615527"/>
    <w:rsid w:val="006F0E6E"/>
    <w:rsid w:val="006F39A5"/>
    <w:rsid w:val="00717301"/>
    <w:rsid w:val="007210E0"/>
    <w:rsid w:val="00AC32AC"/>
    <w:rsid w:val="00AF74A5"/>
    <w:rsid w:val="00B111E4"/>
    <w:rsid w:val="00B52BA1"/>
    <w:rsid w:val="00C10DFF"/>
    <w:rsid w:val="00C63629"/>
    <w:rsid w:val="00C660C9"/>
    <w:rsid w:val="00D02595"/>
    <w:rsid w:val="00D16F95"/>
    <w:rsid w:val="00DB2ADB"/>
    <w:rsid w:val="00E71976"/>
    <w:rsid w:val="00EA249D"/>
    <w:rsid w:val="00ED7D0B"/>
    <w:rsid w:val="00F0125C"/>
    <w:rsid w:val="00F84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76C2E9"/>
  <w15:chartTrackingRefBased/>
  <w15:docId w15:val="{3504E481-C4F2-4EAD-8C1B-371DC299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625C"/>
    <w:pPr>
      <w:spacing w:after="160" w:line="259" w:lineRule="auto"/>
    </w:pPr>
    <w:rPr>
      <w:rFonts w:ascii="Calibri" w:eastAsia="Calibri" w:hAnsi="Calibri"/>
      <w:sz w:val="22"/>
      <w:szCs w:val="22"/>
      <w:lang w:eastAsia="en-US"/>
    </w:rPr>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spacing w:line="360" w:lineRule="auto"/>
      <w:ind w:left="567"/>
      <w:jc w:val="center"/>
      <w:outlineLvl w:val="1"/>
    </w:pPr>
    <w:rPr>
      <w:b/>
      <w:sz w:val="24"/>
    </w:rPr>
  </w:style>
  <w:style w:type="paragraph" w:styleId="Nagwek3">
    <w:name w:val="heading 3"/>
    <w:basedOn w:val="Normalny"/>
    <w:next w:val="Normalny"/>
    <w:qFormat/>
    <w:pPr>
      <w:keepNext/>
      <w:spacing w:line="360" w:lineRule="auto"/>
      <w:jc w:val="both"/>
      <w:outlineLvl w:val="2"/>
    </w:pPr>
    <w:rPr>
      <w:rFonts w:ascii="Arial" w:hAnsi="Arial"/>
      <w:b/>
    </w:rPr>
  </w:style>
  <w:style w:type="paragraph" w:styleId="Nagwek4">
    <w:name w:val="heading 4"/>
    <w:basedOn w:val="Normalny"/>
    <w:next w:val="Normalny"/>
    <w:qFormat/>
    <w:pPr>
      <w:keepNext/>
      <w:jc w:val="center"/>
      <w:outlineLvl w:val="3"/>
    </w:pPr>
    <w:rPr>
      <w:rFonts w:ascii="Arial" w:hAnsi="Arial"/>
      <w:b/>
      <w:sz w:val="28"/>
    </w:rPr>
  </w:style>
  <w:style w:type="paragraph" w:styleId="Nagwek5">
    <w:name w:val="heading 5"/>
    <w:basedOn w:val="Normalny"/>
    <w:next w:val="Normalny"/>
    <w:qFormat/>
    <w:pPr>
      <w:keepNext/>
      <w:spacing w:after="240"/>
      <w:jc w:val="center"/>
      <w:outlineLvl w:val="4"/>
    </w:pPr>
    <w:rPr>
      <w:b/>
      <w:sz w:val="56"/>
    </w:rPr>
  </w:style>
  <w:style w:type="paragraph" w:styleId="Nagwek6">
    <w:name w:val="heading 6"/>
    <w:basedOn w:val="Normalny"/>
    <w:next w:val="Normalny"/>
    <w:qFormat/>
    <w:pPr>
      <w:spacing w:before="240" w:after="60"/>
      <w:outlineLvl w:val="5"/>
    </w:pPr>
    <w:rPr>
      <w:i/>
      <w:szCs w:val="24"/>
    </w:rPr>
  </w:style>
  <w:style w:type="paragraph" w:styleId="Nagwek7">
    <w:name w:val="heading 7"/>
    <w:basedOn w:val="Normalny"/>
    <w:next w:val="Normalny"/>
    <w:qFormat/>
    <w:pPr>
      <w:keepNext/>
      <w:spacing w:line="360" w:lineRule="auto"/>
      <w:outlineLvl w:val="6"/>
    </w:pPr>
    <w:rPr>
      <w:b/>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wcity3">
    <w:name w:val="Body Text Indent 3"/>
    <w:basedOn w:val="Normalny"/>
    <w:pPr>
      <w:spacing w:line="360" w:lineRule="auto"/>
      <w:ind w:firstLine="426"/>
      <w:jc w:val="both"/>
    </w:pPr>
    <w:rPr>
      <w:sz w:val="26"/>
    </w:rPr>
  </w:style>
  <w:style w:type="paragraph" w:styleId="Tekstpodstawowy">
    <w:name w:val="Body Text"/>
    <w:basedOn w:val="Normalny"/>
    <w:pPr>
      <w:numPr>
        <w:ilvl w:val="12"/>
      </w:numPr>
      <w:spacing w:line="360" w:lineRule="auto"/>
      <w:jc w:val="both"/>
    </w:pPr>
    <w:rPr>
      <w:sz w:val="24"/>
    </w:rPr>
  </w:style>
  <w:style w:type="paragraph" w:styleId="Tekstpodstawowy2">
    <w:name w:val="Body Text 2"/>
    <w:basedOn w:val="Normalny"/>
    <w:pPr>
      <w:spacing w:line="360" w:lineRule="auto"/>
      <w:jc w:val="both"/>
    </w:pPr>
    <w:rPr>
      <w:rFonts w:ascii="Arial" w:hAnsi="Arial"/>
    </w:rPr>
  </w:style>
  <w:style w:type="paragraph" w:customStyle="1" w:styleId="ProPublico">
    <w:name w:val="ProPublico"/>
    <w:pPr>
      <w:spacing w:line="360" w:lineRule="auto"/>
    </w:pPr>
    <w:rPr>
      <w:rFonts w:ascii="Arial" w:hAnsi="Arial"/>
      <w:noProof/>
      <w:sz w:val="22"/>
    </w:rPr>
  </w:style>
  <w:style w:type="table" w:styleId="Tabela-Siatka">
    <w:name w:val="Table Grid"/>
    <w:basedOn w:val="Standardowy"/>
    <w:rsid w:val="00AF7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2">
    <w:name w:val="FS2"/>
    <w:basedOn w:val="Normalny"/>
    <w:rsid w:val="00AF74A5"/>
    <w:rPr>
      <w:bCs/>
      <w:iCs/>
      <w:szCs w:val="24"/>
    </w:rPr>
  </w:style>
  <w:style w:type="character" w:styleId="Hipercze">
    <w:name w:val="Hyperlink"/>
    <w:uiPriority w:val="99"/>
    <w:unhideWhenUsed/>
    <w:rsid w:val="001F62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98732-2021:TEXT:PL:HTML" TargetMode="External"/><Relationship Id="rId13" Type="http://schemas.openxmlformats.org/officeDocument/2006/relationships/hyperlink" Target="http://www.dzp.agh.edu.p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ted.europa.eu/udl?uri=TED:NOTICE:98732-2021:TEXT:PL:HTML" TargetMode="External"/><Relationship Id="rId12" Type="http://schemas.openxmlformats.org/officeDocument/2006/relationships/hyperlink" Target="mailto:dzp@agh.edu.pl?subject=TED"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d.europa.eu/udl?uri=TED:NOTICE:091934-2021:TEXT:PL:HTML" TargetMode="External"/><Relationship Id="rId5" Type="http://schemas.openxmlformats.org/officeDocument/2006/relationships/footnotes" Target="footnotes.xml"/><Relationship Id="rId15" Type="http://schemas.openxmlformats.org/officeDocument/2006/relationships/hyperlink" Target="https://ted.europa.eu/udl?uri=TED:NOTICE:091934-2021:TEXT:PL:HTML" TargetMode="External"/><Relationship Id="rId23" Type="http://schemas.openxmlformats.org/officeDocument/2006/relationships/theme" Target="theme/theme1.xml"/><Relationship Id="rId10" Type="http://schemas.openxmlformats.org/officeDocument/2006/relationships/hyperlink" Target="https://ted.europa.eu/udl?uri=TED:NOTICE:98732-2021:TEXT:PL: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ted.europa.eu/udl?uri=TED:NOTICE:98732-2021:TEXT:PL:HTML" TargetMode="External"/><Relationship Id="rId14" Type="http://schemas.openxmlformats.org/officeDocument/2006/relationships/hyperlink" Target="http://www.dzp.agh.edu.p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WIA~1.LEM\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8</Pages>
  <Words>1797</Words>
  <Characters>12613</Characters>
  <Application>Microsoft Office Word</Application>
  <DocSecurity>0</DocSecurity>
  <Lines>105</Lines>
  <Paragraphs>28</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Sylwia Lempart</dc:creator>
  <cp:keywords/>
  <cp:lastModifiedBy>Sylwia Lempart</cp:lastModifiedBy>
  <cp:revision>3</cp:revision>
  <cp:lastPrinted>2001-02-10T19:50:00Z</cp:lastPrinted>
  <dcterms:created xsi:type="dcterms:W3CDTF">2021-02-26T08:09:00Z</dcterms:created>
  <dcterms:modified xsi:type="dcterms:W3CDTF">2021-02-26T08:09:00Z</dcterms:modified>
</cp:coreProperties>
</file>