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693" w:rsidRDefault="001F0945">
      <w:pPr>
        <w:rPr>
          <w:rFonts w:ascii="Times New Roman" w:hAnsi="Times New Roman" w:cs="Times New Roman"/>
          <w:b/>
          <w:bCs/>
        </w:rPr>
      </w:pPr>
      <w:r w:rsidRPr="001F0945">
        <w:rPr>
          <w:rFonts w:ascii="Times New Roman" w:hAnsi="Times New Roman" w:cs="Times New Roman"/>
          <w:b/>
          <w:bCs/>
        </w:rPr>
        <w:t>PARAMETRY</w:t>
      </w:r>
      <w:r>
        <w:rPr>
          <w:rFonts w:ascii="Times New Roman" w:hAnsi="Times New Roman" w:cs="Times New Roman"/>
          <w:b/>
          <w:bCs/>
        </w:rPr>
        <w:t xml:space="preserve"> </w:t>
      </w:r>
      <w:r w:rsidR="003A1124" w:rsidRPr="001F0945">
        <w:rPr>
          <w:rFonts w:ascii="Times New Roman" w:hAnsi="Times New Roman" w:cs="Times New Roman"/>
          <w:b/>
          <w:bCs/>
        </w:rPr>
        <w:t xml:space="preserve"> </w:t>
      </w:r>
      <w:r w:rsidR="003A1124">
        <w:rPr>
          <w:rFonts w:ascii="Times New Roman" w:hAnsi="Times New Roman" w:cs="Times New Roman"/>
          <w:b/>
          <w:bCs/>
        </w:rPr>
        <w:t xml:space="preserve">GRANICZNE (wymagane) przedmiotu dzierżawy  do wykonywania badań </w:t>
      </w:r>
      <w:r w:rsidR="003A1124">
        <w:rPr>
          <w:rFonts w:ascii="Times New Roman" w:hAnsi="Times New Roman" w:cs="Times New Roman"/>
          <w:b/>
          <w:bCs/>
        </w:rPr>
        <w:br/>
        <w:t>w Serologii Transfuzjologicznej</w:t>
      </w:r>
    </w:p>
    <w:p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 w:rsidRPr="003A1124">
        <w:rPr>
          <w:rFonts w:ascii="Times New Roman" w:hAnsi="Times New Roman" w:cs="Times New Roman"/>
          <w:b/>
          <w:sz w:val="20"/>
          <w:szCs w:val="20"/>
        </w:rPr>
        <w:t>Podać: nazwę typ urządzenia, producent, kraj pochodzenia, rok produkcji, rok wprowadzenia modelu do produkcji:</w:t>
      </w:r>
    </w:p>
    <w:p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……………………………………………………..</w:t>
      </w:r>
    </w:p>
    <w:p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</w:t>
      </w:r>
    </w:p>
    <w:p w:rsidR="00CF0090" w:rsidRDefault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1:</w:t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2126"/>
      </w:tblGrid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Parametry graniczne dla analizatora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oferowana </w:t>
            </w:r>
          </w:p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fabrycznie nowy, rok produkcji  nie starszy niż 2019, w pełni automatyczny, w zakresie od pobrania próbki poprzez badanie do uzyskania wyniku oraz jego przesłania do oprogramowania pracowni serologii i wydrukowania. Zapewnienie zewnętrznego systemu podtrzymywania napięcia /UPS/ min. 30 minut dla analizatora. Dostarczenie wszystkich koniecznych urządzeń do prawidłowej pracy analizatora wraz z oprogramowaniem.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wolnostojący lub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nastołowy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. W przypadku analizatora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nastołowego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Wykonawca musi dostarczyć stół dedykowany dla analizatora.</w:t>
            </w:r>
          </w:p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Wydajność analizatora  musi wynosić minimum 30 próbek na godzinę w zakresie wykonania: oznaczenia antygenów układu AB0, izoaglutynin, oznaczenia antygenu D z układu Rh i badania przeglądowego na obecność nieregularnych przeciwciał na panelowych krwinkach w teście PTA.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 musi posiadać minimum  dwie wbudowane wirówki ze względu na konieczność szybkiego wykonania badania cito.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musi pracować w oparciu o technikę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mikrotestów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kolumnowych, wykonywać wszystkie badania z krwi pełnej pobranej na EDTA.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 z minimum 50 miejscami na próbki badane, wyposażony w magazyn na odczynniki /mikrokarty/ o pojemności minimum 150 mikrokart.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Wymiana igły analizatora możliwa przez użytkownika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musi pracować w trybie wolnego dostępu –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Random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Access (w każdym momencie możliwość doładowania mikrokart i innych odczynników). Wyświetlane obrazy  nasilenia reakcji, dostępne w kolorze.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Analizator umożliwiający wykonanie badań pilnych.</w:t>
            </w:r>
          </w:p>
          <w:p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Dostępna funkcja - CITO/STAT.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Identyfikacja badanych próbek i odczynników poprzez kody kreskowe, elektroniczny rejestr numerów serii stosowanych odczynników, krwinek wzorcowych.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 xml:space="preserve">Analizator posiada system usuwania zużytych mikrokart  </w:t>
            </w:r>
          </w:p>
          <w:p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( pojemnik na odpady stałe  – bez udziału operatora).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Analizator raportuje stan mikrokart, odczynników, płynów oraz zgłasza stan alarmowy jeśli ilość mikrokart lub odczynników nie jest wystarczająca do wykonania zaplanowanych badań.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Automatyczny analizator musi wykonywać następujące badania w technice aglutynacji kolumnowej (kolumny wypełnione fabrycznie podłożem separującym i odczynnikami):</w:t>
            </w:r>
          </w:p>
          <w:p w:rsidR="00354857" w:rsidRPr="00354857" w:rsidRDefault="00354857" w:rsidP="00354857">
            <w:pPr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grupa krwi układu AB0 z użyciem jednej serii odczynników monoklonalnych anty-A, anty-B, anty-DVI(-), anty-DVI(+), </w:t>
            </w:r>
            <w:r w:rsidRPr="0035485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(dwa klony </w:t>
            </w:r>
            <w:r w:rsidRPr="00354857">
              <w:rPr>
                <w:rFonts w:ascii="Times New Roman" w:hAnsi="Times New Roman" w:cs="Times New Roman"/>
                <w:iCs/>
                <w:sz w:val="20"/>
                <w:szCs w:val="20"/>
              </w:rPr>
              <w:t>dla anty-D</w:t>
            </w:r>
            <w:r w:rsidRPr="0035485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  <w:p w:rsidR="00354857" w:rsidRPr="00354857" w:rsidRDefault="00354857" w:rsidP="00354857">
            <w:pPr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przeciwciała grupowe do grupy krwi – izoaglutyniny anty-A1,anty-B,</w:t>
            </w:r>
          </w:p>
          <w:p w:rsidR="00354857" w:rsidRPr="00354857" w:rsidRDefault="00354857" w:rsidP="00354857">
            <w:pPr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badanie przeglądowe na obecność przeciwciał odpornościowych w pośrednim teście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antyglobulinowym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(PTA-LISS) przy użyciu krwinek wzorcowych,</w:t>
            </w:r>
          </w:p>
          <w:p w:rsidR="00354857" w:rsidRPr="00354857" w:rsidRDefault="00354857" w:rsidP="00354857">
            <w:pPr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kontrola grupy krwi w zakresie anty-A, anty-B, anty-DVI(-) dla biorców oraz anty-A, anty-B, anty-DVI(+) dawców, odczynniki naniesione na kolumny przez producenta,</w:t>
            </w:r>
          </w:p>
          <w:p w:rsidR="00354857" w:rsidRPr="00354857" w:rsidRDefault="00354857" w:rsidP="0035485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badanie próby zgodności w środowisku PTA-LISS w pełni automatycznie,</w:t>
            </w:r>
          </w:p>
          <w:p w:rsidR="00354857" w:rsidRPr="00354857" w:rsidRDefault="00354857" w:rsidP="00354857">
            <w:pPr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Bezpośredni Test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Antyglobulinowy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w zakresie:</w:t>
            </w:r>
          </w:p>
          <w:p w:rsidR="00354857" w:rsidRPr="00354857" w:rsidRDefault="00354857" w:rsidP="00354857">
            <w:pPr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            anty-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anty-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anty-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IgA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, anty-C3c, anty-C3d </w:t>
            </w:r>
          </w:p>
          <w:p w:rsidR="00354857" w:rsidRPr="00354857" w:rsidRDefault="00354857" w:rsidP="00354857">
            <w:pPr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          lub  anty-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, anty-C3d,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Ctl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Zapewnienie backupu w postaci:</w:t>
            </w:r>
          </w:p>
          <w:p w:rsidR="00354857" w:rsidRPr="00354857" w:rsidRDefault="00354857" w:rsidP="00354857">
            <w:pPr>
              <w:numPr>
                <w:ilvl w:val="0"/>
                <w:numId w:val="2"/>
              </w:numPr>
              <w:spacing w:line="276" w:lineRule="auto"/>
              <w:ind w:right="-250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wirówki min.24 miejscowej  - 1 sztuka</w:t>
            </w:r>
          </w:p>
          <w:p w:rsidR="00354857" w:rsidRPr="00354857" w:rsidRDefault="00354857" w:rsidP="00354857">
            <w:pPr>
              <w:numPr>
                <w:ilvl w:val="0"/>
                <w:numId w:val="2"/>
              </w:numPr>
              <w:spacing w:line="276" w:lineRule="auto"/>
              <w:ind w:right="-250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inkubator – 1sztuka</w:t>
            </w:r>
          </w:p>
          <w:p w:rsidR="00354857" w:rsidRPr="00354857" w:rsidRDefault="00354857" w:rsidP="00354857">
            <w:pPr>
              <w:numPr>
                <w:ilvl w:val="0"/>
                <w:numId w:val="2"/>
              </w:numPr>
              <w:spacing w:line="276" w:lineRule="auto"/>
              <w:ind w:right="-250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statyw na kasety i probówki- 1szt. , dozownik – 1 sztuka</w:t>
            </w:r>
          </w:p>
          <w:p w:rsidR="00354857" w:rsidRPr="00354857" w:rsidRDefault="00354857" w:rsidP="00354857">
            <w:pPr>
              <w:numPr>
                <w:ilvl w:val="0"/>
                <w:numId w:val="2"/>
              </w:numPr>
              <w:spacing w:line="276" w:lineRule="auto"/>
              <w:ind w:right="-250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pipety nieelektroniczne, nastawne dedykowane do metody- </w:t>
            </w:r>
          </w:p>
          <w:p w:rsidR="00354857" w:rsidRPr="00354857" w:rsidRDefault="00354857" w:rsidP="00354857">
            <w:pPr>
              <w:spacing w:line="276" w:lineRule="auto"/>
              <w:ind w:left="720" w:right="-250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 sztuki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ind w:right="-25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4F44A0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 posiadający wbudowany system kontroli jakości dla poszczególnych modułów (wirówki, inkubatora, systemu pipetującego).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4F44A0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 posiada funkcję automatycznego rozpoznawania w probówce skrzepu oraz rozpoznaje  brak odkorkowania probówki - co wyklucza możliwość uszkodzenia lub złamania igły pipetującej.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Automatyczny system kontroli niezgodności otrzymanych wyników z wynikami badań w archiwum.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Automatyczne wykonywanie kopii bezpieczeństwa przez analizator dla wszystkich wyników badań.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dostarczy wraz z urządzeniem instrukcji obsługi w języku polskim oraz dokumentacją techniczną niezbędną do prawidłowego korzystania z urządzeń.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Archiwizacja wyników badań w formie protokołu badania oraz obrazu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mikrokolumny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Uwolnienie wyników następuje po zatwierdzeniu ich przez uprawnionego operatora.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 cenie oferty  Wykonawca zapewnia serwis gwarancyjny,  naprawy, walidację oraz przeglądy urządzeń wchodzących w skład przedmiotu zamówienia: analizator, wirówka, inkubator, pipety,  skanery, czytniki, drukarki oraz  zaoferowany system informatyczny.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Stabilność odczynników krwinkowych na pokładzie analizatora min. 5 dni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 cenie oferty Wykonawca zapewnia pakiet walidacyjno-startowy zawierający karty, krwinki i odczynniki  pozwalające na wykonanie minimum następujących badań:</w:t>
            </w:r>
          </w:p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pełne oznaczenie grup krwi osoby dorosłej</w:t>
            </w:r>
          </w:p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-oznaczenie grup krwi noworodka</w:t>
            </w:r>
          </w:p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-próba zgodności biorca-dawca</w:t>
            </w:r>
          </w:p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-screening przeciwciał w teście PTA-LISS</w:t>
            </w:r>
          </w:p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ilości zgodnej z obowiązującymi przepisami oraz niezbędnej do przeszkolenia wszystkich pracowników na dostarczonym analizatorze.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otwiera pojedynczo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mikrokolumny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na karcie, co umożliwia całkowite wykorzystanie mikrokarty.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7A480D" w:rsidP="007A480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naprawy analizatora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: do 24 godzin od zgłoszenia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awarii.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Odczynniki, mikrokarty oraz sprzęt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back-up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pochodzą od jednego producenta celem pełnej walidacji metody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Zamawiający wymaga, zgodnie z art.90 ustawy o wyrobach medycznych z dnia 20 maja 2010 roku załączenia do oferty min. 3 imiennych  zaświadczeń/certyfikatów wystawionych przez producenta sprzętu dla osób z serwisu technicznego upoważniających do wykonania czynności serwisowych: fachowej instalacji, okresowej konserwacji lub doraźnej obsługi serwisowej, okresowych lub doraźnych przeglądów, regulacji, kalibracji,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wzorcowań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sprawdzeń lub kontroli bezpieczeństwa – które zgodnie z instrukcją używania wyrobu nie mogą być wykonane przez użytkownika.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A1124" w:rsidRDefault="003A1124">
      <w:pPr>
        <w:rPr>
          <w:rFonts w:ascii="Times New Roman" w:hAnsi="Times New Roman" w:cs="Times New Roman"/>
          <w:b/>
          <w:bCs/>
        </w:rPr>
      </w:pPr>
    </w:p>
    <w:p w:rsidR="00CF0090" w:rsidRDefault="00CF0090" w:rsidP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2:</w:t>
      </w: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303"/>
        <w:gridCol w:w="1276"/>
        <w:gridCol w:w="2253"/>
      </w:tblGrid>
      <w:tr w:rsidR="00354857" w:rsidRPr="00354857" w:rsidTr="002B740A">
        <w:trPr>
          <w:trHeight w:val="671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Parametry graniczne dla systemu (oprogramowania)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oferowana </w:t>
            </w:r>
          </w:p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:rsidTr="00313BA8">
        <w:trPr>
          <w:trHeight w:val="1426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dostarczy oprogramowanie umożliwiające dokumentację przeprowadzanych badań i procedur wykorzystywanych w Pracowni Serologii Transfuzjologicznej z Bankiem Krwi m.in.: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próba zgodności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grupa krwi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konflikt serologiczny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-profilaktyka konfliktu serologicznego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1021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zapewni: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- 4 licencje na oprogramowani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do Pracowni Serologii Transfuzjologicznej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z Bankiem Krwi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instalację i konfigurację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podłączenie analizatora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prace konfiguracyjne i wdrożeniowe u Użytkownika</w:t>
            </w:r>
          </w:p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szkolenie użytkowników</w:t>
            </w:r>
          </w:p>
          <w:p w:rsidR="00354857" w:rsidRPr="00354857" w:rsidRDefault="00354857" w:rsidP="0027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gwarancj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i serwis na okres obowiązywania umowy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Dostarczone oprogramowanie zostanie zainstalowane na komputerach dostarczonych przez zamawiającego.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 serwer do obsługi LIS wraz z UPS.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54857">
        <w:trPr>
          <w:trHeight w:val="1905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dostarczy: </w:t>
            </w:r>
          </w:p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- skaner kodów kreskowych w ilości 4 szt. </w:t>
            </w:r>
          </w:p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 drukarkę kodów kreskowych w ilości 4 szt.</w:t>
            </w:r>
          </w:p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Etykiety do kodowania zarówno próbek krwi jak i zleceń w sumarycznej ilości 10 tyś. kodów.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2B740A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Oprogramowanie umożliwiające przyjmowanie, wydawanie, zwroty, reklamacje poszczególnych składników krwi do i z Banku Krwi , śledzące aktualny stan zapasów w Banku Krwi oraz sygnalizujące fakt utraty daty ważności składnika krwi.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2B740A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Oprogramowanie umożliwiające rejestr zwracanych z oddziałów opakowań po przetoczonych składnikach krwi.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2B740A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wprowadzania różnych typów składników krwi uwzględniając w szczególności: liczbę jednostek, liczbę ml.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System ostrzeżeń o niezgodnej z poprzednimi wynikami grupie krwi pacjenta, niezgodnym składniku krwi oraz o wykrytych przeciwciałach.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wpisania na wyniku przeznaczonym do wydrukowania, zaleceń i komentarzy dotyczących pacjenta.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Prowadzenie kompletnej historii transfuzji i badań u każdego pacjenta. Pełne odtwarzanie drogi donacji do konkretnego biorcy.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manualnego wprowadzania badań oraz ich edycji i usuwania.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Program wyposażony w system ostrzeżeń o wykrytych przeciwciałach, reakcjach poprzetoczeniowych oraz możliwość wpisywania uwag, które mają każdorazowo pojawiać się automatycznie.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szybkiego i łatwego odszukania z bazy pacjentów wyniku danego pacjenta na podstawie nazwiska i imienia lub nr pesel.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1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kontrolowania pracy poszczególnych użytkowników oprogramowania.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2B740A">
        <w:trPr>
          <w:trHeight w:val="671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Możliwość prowadzenia ewidencji, dystrybucji komponentami krwi pod kątem jednostek sprowadzonych np. z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RCKiK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oraz jednostek przekazanych dalej do innych szpitali lub na poszczególne oddziały szpitala.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54857">
        <w:trPr>
          <w:trHeight w:val="46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17.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drukowania raportów (książek) z przeprowadzonych badań.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54857">
        <w:trPr>
          <w:trHeight w:val="555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18.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Możliwość drukowania raportów przychodowo – rozchodowych krwi i jej składników 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22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19.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lastRenderedPageBreak/>
              <w:t xml:space="preserve">Połączenie i integracja ze szpitalnym systemem HIS (MLS </w:t>
            </w:r>
            <w:proofErr w:type="spellStart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MedicAll</w:t>
            </w:r>
            <w:proofErr w:type="spellEnd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, f</w:t>
            </w:r>
            <w:r w:rsidR="00A759D4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irmy MLS SOFTWARE Sp. z o.o. 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Kraków) w zakresie:</w:t>
            </w:r>
          </w:p>
          <w:p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lastRenderedPageBreak/>
              <w:t xml:space="preserve">- zlecania badań </w:t>
            </w:r>
          </w:p>
          <w:p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- składania zamówień na krew i jej składniki</w:t>
            </w:r>
          </w:p>
          <w:p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- odbioru wyników badań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54857">
        <w:trPr>
          <w:trHeight w:val="673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20.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Oprogramowanie wykorzystujące protokół HL7. Protokół dostarczony razem z oprogramowaniem. 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710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Oprogramowanie zapewniać będzie funkcjonalności pozwalające na obsługę procesów określonych w aktualnie obowiązującym 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Rozporządzeniu Ministra Zdrowia w sprawie leczenia krwią w podmiotach leczniczych wykonujących działalność leczniczą w rodzaju stacjonarne i całodobowe świadczenia zdrowotne , w których przebywają pacjenci ze wskazaniami do leczenia krwią i jej składnikami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354857">
        <w:trPr>
          <w:trHeight w:val="637"/>
          <w:jc w:val="center"/>
        </w:trPr>
        <w:tc>
          <w:tcPr>
            <w:tcW w:w="496" w:type="dxa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30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Oprogramowanie zgodne ze standardem międzynarodowym ISBT (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Interational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Society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of Blood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Transfusion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B740A">
        <w:trPr>
          <w:trHeight w:val="270"/>
          <w:jc w:val="center"/>
        </w:trPr>
        <w:tc>
          <w:tcPr>
            <w:tcW w:w="49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6303" w:type="dxa"/>
            <w:vAlign w:val="center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w ramach ceny ofertowej  dokona migracji dotychczas eksploatowanej bazy danych z  aktualnie istniejącego oprogramowania w Pracowni „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Delphyn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” do oferowanego oprogramowania w sposób zapewniający obsługę wszystkich danych w dotychczasowej bazie danych przez funkcjonalności oferowanego oprogramowania.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354857">
        <w:trPr>
          <w:trHeight w:val="1422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303" w:type="dxa"/>
            <w:shd w:val="clear" w:color="auto" w:fill="FFFFFF"/>
            <w:vAlign w:val="center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w ramach ceny ofertowej  zapewnia dostarczenie przez cały okres trwania umowy wszelkich aktualizacji, poprawek (łaty,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patche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) oraz nowych wersji oprogramowania dostarczonych przez producenta oprogramowania użytkownikom. Oferowane oprogramowanie jest kompatybilne z oprogramowaniem oferowanego analizatora.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2B740A">
        <w:trPr>
          <w:trHeight w:val="848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303" w:type="dxa"/>
            <w:shd w:val="clear" w:color="auto" w:fill="FFFFFF"/>
            <w:vAlign w:val="center"/>
          </w:tcPr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cenie oferty Wykonawca dokonywał będzie przez cały okres obowiązywania umowy aktualizacji i dostosowań wzorów zleceń, wzorów wyniku badań, Książek Badań w Pracowni Serologii Transfuzjologicznej z Bankiem Krwi, z możliwością ich wydruków, zgodnie z obowiązującymi przepisami zawartymi w aktualnie obowiązującym Rozporządzeniu Ministra Zdrowia 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w sprawie leczenia krwią w podmiotach leczniczych wykonujących działalność leczniczą w rodzaju stacjonarne i całodobowe świadczenia zdrowotne, w których przebywają pacjenci ze wskazaniami do leczenia krwią i jej składnikami; Obwieszczeniu Ministra Zdrowia w sprawie wymagań dobrej praktyki pobierania krwi i jej składników, badania, preparatyki, przechowywania, wydawania i transportu dla jednostek organizacyjnych publicznej służby krwi oraz zaleceniami Regionalnego Centrum Krwiodawstwa i Krwiolecznictwa w Krakowie; Instytutu Hematologii i Transfuzjologii w Warszawie; innych jednostek pełniących merytoryczny nadzór na Pracownią i Bankiem Krwi oraz wewnętrznych potrzeb Szpitala.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48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303" w:type="dxa"/>
            <w:shd w:val="clear" w:color="auto" w:fill="FFFFFF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Oprogramowanie wyposażone w moduły statystyczne obejmujące:</w:t>
            </w:r>
          </w:p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Obsługę Banku Krwi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rejestrowanie przychodów i rozchodów krwi i jej składników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statystyka raportów badań pod kątem rodzajów zarejestrowanych i wykonanych badań, ilości pacjentów, ilości dawców, oddziałów zlecających , konkretnego pacjenta otrzymującego składniki krwi, osoby zlecającej, ilości wykonanych procedur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statystyka Banku Krwi: ilość i rodzaj komponentów krwi przyjętych, skrzyżowanych, przetoczonych,  zwracanych, historii każdego komponentu krwi, aktualne zasoby Banku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Bank Krwi – statystyka pod kątem komponentów krwi (typy preparatów, grupy, objętości), oddziałów, osób zlecających, sumarycznych zestawień dla poszczególnych oddziałów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eksportu raportów do trybu arkusza kalkulacyjnego typu MS EXCEL w celu opracowywania dalszych kalkulacji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wszystkie raporty generowane dla dowolnie ustalonego przedziału czasowego</w:t>
            </w:r>
          </w:p>
          <w:p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Pracowni Serologii Transfuzjologicznej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statystyka ilości wykonanych badań grup krwi, prób zgodności, konfliktów serologicznych, kwalifikacji do immunoglobuliny anty-D, ilości BTA, sumarycznych zestawień dla poszczególnych oddziałów i osób zlecających</w:t>
            </w:r>
          </w:p>
          <w:p w:rsidR="00354857" w:rsidRPr="00354857" w:rsidRDefault="00354857" w:rsidP="0035485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wszystkie raporty generowane dla dowolnie ustalonego przedziału czasowego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:rsidTr="00313BA8">
        <w:trPr>
          <w:trHeight w:val="548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6303" w:type="dxa"/>
            <w:shd w:val="clear" w:color="auto" w:fill="FFFFFF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Obsługa serwisowa oprogramowania dostępna 24 godziny na dobę przez 7 dni w tygodniu. </w:t>
            </w:r>
          </w:p>
        </w:tc>
        <w:tc>
          <w:tcPr>
            <w:tcW w:w="1276" w:type="dxa"/>
            <w:vAlign w:val="center"/>
          </w:tcPr>
          <w:p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80D" w:rsidRPr="00354857" w:rsidTr="00313BA8">
        <w:trPr>
          <w:trHeight w:val="548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7A480D" w:rsidRPr="00354857" w:rsidRDefault="007A480D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6303" w:type="dxa"/>
            <w:shd w:val="clear" w:color="auto" w:fill="FFFFFF"/>
          </w:tcPr>
          <w:p w:rsidR="007A480D" w:rsidRPr="00354857" w:rsidRDefault="007A480D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naprawy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oprogramowania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systemu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do 2 godzin od zgłoszenia awarii.</w:t>
            </w:r>
          </w:p>
        </w:tc>
        <w:tc>
          <w:tcPr>
            <w:tcW w:w="1276" w:type="dxa"/>
            <w:vAlign w:val="center"/>
          </w:tcPr>
          <w:p w:rsidR="007A480D" w:rsidRPr="00354857" w:rsidRDefault="007A480D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:rsidR="007A480D" w:rsidRPr="00354857" w:rsidRDefault="007A480D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F0090" w:rsidRPr="00354857" w:rsidRDefault="00CF0090" w:rsidP="00CF0090">
      <w:pPr>
        <w:rPr>
          <w:rFonts w:ascii="Times New Roman" w:hAnsi="Times New Roman" w:cs="Times New Roman"/>
          <w:b/>
          <w:sz w:val="20"/>
          <w:szCs w:val="20"/>
        </w:rPr>
      </w:pPr>
    </w:p>
    <w:p w:rsidR="00CF0090" w:rsidRPr="00354857" w:rsidRDefault="00CF0090">
      <w:pPr>
        <w:rPr>
          <w:rFonts w:ascii="Times New Roman" w:hAnsi="Times New Roman" w:cs="Times New Roman"/>
          <w:b/>
          <w:bCs/>
        </w:rPr>
      </w:pPr>
    </w:p>
    <w:p w:rsidR="00313BA8" w:rsidRPr="00354857" w:rsidRDefault="00313BA8" w:rsidP="00313BA8">
      <w:pPr>
        <w:rPr>
          <w:rFonts w:ascii="Times New Roman" w:hAnsi="Times New Roman" w:cs="Times New Roman"/>
          <w:b/>
          <w:sz w:val="20"/>
          <w:szCs w:val="20"/>
        </w:rPr>
      </w:pPr>
      <w:r w:rsidRPr="00354857">
        <w:rPr>
          <w:rFonts w:ascii="Times New Roman" w:hAnsi="Times New Roman" w:cs="Times New Roman"/>
          <w:b/>
          <w:sz w:val="20"/>
          <w:szCs w:val="20"/>
        </w:rPr>
        <w:t>Tabela Nr 3.</w:t>
      </w:r>
    </w:p>
    <w:p w:rsidR="00313BA8" w:rsidRPr="00354857" w:rsidRDefault="00313BA8" w:rsidP="00313BA8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177"/>
        <w:gridCol w:w="1417"/>
        <w:gridCol w:w="2133"/>
      </w:tblGrid>
      <w:tr w:rsidR="00313BA8" w:rsidRPr="00354857" w:rsidTr="00EB7481">
        <w:trPr>
          <w:trHeight w:val="293"/>
          <w:jc w:val="center"/>
        </w:trPr>
        <w:tc>
          <w:tcPr>
            <w:tcW w:w="496" w:type="dxa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177" w:type="dxa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Parametry graniczne dla mikrokart, odczynników i krwinek</w:t>
            </w:r>
          </w:p>
        </w:tc>
        <w:tc>
          <w:tcPr>
            <w:tcW w:w="1417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33" w:type="dxa"/>
          </w:tcPr>
          <w:p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oferowana </w:t>
            </w:r>
          </w:p>
          <w:p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177" w:type="dxa"/>
            <w:vAlign w:val="center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Mikrokarty fabrycznie wypełnione odczynnikami przez producenta. Mikrokarty wypełnione podłożem separującym – żelem dekstranowym lub szklanymi kulkami, gotowe do użytku.</w:t>
            </w:r>
          </w:p>
        </w:tc>
        <w:tc>
          <w:tcPr>
            <w:tcW w:w="1417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177" w:type="dxa"/>
            <w:vAlign w:val="center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Każde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jednostkowe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opakowanie opisane: nazwa, seria, termin ważności.</w:t>
            </w:r>
          </w:p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Oferowane karty, odczynniki i krwinki wzorcowe dopuszczone do obrotu na rynku polskim, posiadające znak CE z numerem jednostki notyfikowanej dla produktów zaklasyfikowanych do listy A lub B.</w:t>
            </w:r>
          </w:p>
        </w:tc>
        <w:tc>
          <w:tcPr>
            <w:tcW w:w="1417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844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każdej dostawie ulotka producenta w języku polskim potwierdzająca skład odczynników użytych do wypełnienia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mikrokolumn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na mikrokartach – nazwy klonów.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1118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Certyfikaty kontroli jakości dla każdego rodzaju i serii mikrokart i odczynników.</w:t>
            </w:r>
          </w:p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Karty w oryginalnych opakowaniach producenta, oznakowane znakiem CE z numerem jednostki notyfikowanej dla produktów zaklasyfikowanych do listy A lub B. (zgodnie z aktualnie obowiązującym Rozporządzeniem Ministra Zdrowia. w sprawie wymagań zasadniczych oraz procedur oceny zgodności wyrobów medycznych do diagnostyki in vitro).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354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Przechowywanie kart w temp. 18-25⁰C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416"/>
          <w:jc w:val="center"/>
        </w:trPr>
        <w:tc>
          <w:tcPr>
            <w:tcW w:w="496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177" w:type="dxa"/>
            <w:vAlign w:val="center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Metodyka badania w języku polskim dla każdego rodzaju testów.</w:t>
            </w:r>
          </w:p>
        </w:tc>
        <w:tc>
          <w:tcPr>
            <w:tcW w:w="1417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6177" w:type="dxa"/>
            <w:vAlign w:val="center"/>
          </w:tcPr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Mikrokarty do oznaczeń grup krwi metodą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mikrokolumnową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muszą umożliwiać oznaczenie antygenu D dwoma różnymi klonami w tym jeden nie wykrywający kategorii D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VI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177" w:type="dxa"/>
            <w:vAlign w:val="center"/>
          </w:tcPr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Mikrokarty do kontroli grup krwi biorców i dawców krwi przy wykonywaniu próby zgodności wypełnione fabrycznie odczynnikami, zgodnie z obowiązującymi przepisami – (dla biorców odczynnik anty-D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VI-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dla dawców odczynnik anty-D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VI+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417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pStyle w:val="Tekstpodstawowy2"/>
              <w:rPr>
                <w:b w:val="0"/>
                <w:sz w:val="20"/>
                <w:szCs w:val="20"/>
              </w:rPr>
            </w:pPr>
            <w:r w:rsidRPr="00354857">
              <w:rPr>
                <w:b w:val="0"/>
                <w:sz w:val="20"/>
                <w:szCs w:val="20"/>
              </w:rPr>
              <w:t>Krwinki wzorcowe do wykrywania przeciwciał (PTA LISS)   gotowe do użycia,  dedykowane do metody.</w:t>
            </w:r>
          </w:p>
        </w:tc>
        <w:tc>
          <w:tcPr>
            <w:tcW w:w="1417" w:type="dxa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w ramach ceny ofertowej  zapewni  2 razy w roku udział w zewnętrznej międzynarodowej kontroli jakości potwierdzonej certyfikatem.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Wszystkie mikrokarty, odczynniki, krwinki wzorcowe i materiały zużywalne pochodzące od jednego producenta  celem pełnej walidacji metody.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Wszystkie mikrokarty i  krwinki wzorcowe mają być wymienialne między  systemem automatycznym a systemem manualnym.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13BA8" w:rsidRPr="00354857" w:rsidRDefault="00313BA8" w:rsidP="00313BA8">
      <w:pPr>
        <w:rPr>
          <w:rFonts w:ascii="Times New Roman" w:hAnsi="Times New Roman" w:cs="Times New Roman"/>
          <w:color w:val="FF0000"/>
          <w:sz w:val="20"/>
          <w:szCs w:val="20"/>
        </w:rPr>
      </w:pPr>
    </w:p>
    <w:p w:rsidR="00313BA8" w:rsidRPr="00354857" w:rsidRDefault="00313BA8" w:rsidP="00313BA8">
      <w:pPr>
        <w:rPr>
          <w:rFonts w:ascii="Times New Roman" w:hAnsi="Times New Roman" w:cs="Times New Roman"/>
          <w:color w:val="FF0000"/>
          <w:sz w:val="20"/>
          <w:szCs w:val="20"/>
        </w:rPr>
      </w:pPr>
    </w:p>
    <w:p w:rsidR="001A3E89" w:rsidRPr="00354857" w:rsidRDefault="001A3E89" w:rsidP="00313BA8">
      <w:pPr>
        <w:pStyle w:val="Tekstpodstawowywcity"/>
        <w:spacing w:line="360" w:lineRule="auto"/>
        <w:rPr>
          <w:b/>
          <w:sz w:val="20"/>
          <w:szCs w:val="20"/>
        </w:rPr>
      </w:pPr>
    </w:p>
    <w:p w:rsidR="00313BA8" w:rsidRPr="00354857" w:rsidRDefault="00313BA8" w:rsidP="00313BA8">
      <w:pPr>
        <w:pStyle w:val="Tekstpodstawowywcity"/>
        <w:spacing w:line="360" w:lineRule="auto"/>
        <w:rPr>
          <w:b/>
          <w:sz w:val="20"/>
          <w:szCs w:val="20"/>
        </w:rPr>
      </w:pPr>
      <w:r w:rsidRPr="00354857">
        <w:rPr>
          <w:b/>
          <w:sz w:val="20"/>
          <w:szCs w:val="20"/>
        </w:rPr>
        <w:t xml:space="preserve">PARAMETRY OCENIANE </w:t>
      </w:r>
    </w:p>
    <w:tbl>
      <w:tblPr>
        <w:tblW w:w="10490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5304"/>
        <w:gridCol w:w="2599"/>
        <w:gridCol w:w="1701"/>
      </w:tblGrid>
      <w:tr w:rsidR="00313BA8" w:rsidRPr="00354857" w:rsidTr="00313BA8">
        <w:tc>
          <w:tcPr>
            <w:tcW w:w="886" w:type="dxa"/>
            <w:shd w:val="clear" w:color="auto" w:fill="F2F2F2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L.p.</w:t>
            </w:r>
          </w:p>
        </w:tc>
        <w:tc>
          <w:tcPr>
            <w:tcW w:w="5304" w:type="dxa"/>
            <w:shd w:val="clear" w:color="auto" w:fill="F2F2F2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Parametr oceniany</w:t>
            </w:r>
          </w:p>
        </w:tc>
        <w:tc>
          <w:tcPr>
            <w:tcW w:w="2599" w:type="dxa"/>
            <w:shd w:val="clear" w:color="auto" w:fill="F2F2F2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Ilość  punktów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Oferowane</w:t>
            </w:r>
          </w:p>
        </w:tc>
      </w:tr>
      <w:tr w:rsidR="00313BA8" w:rsidRPr="00354857" w:rsidTr="00313BA8">
        <w:trPr>
          <w:trHeight w:val="777"/>
        </w:trPr>
        <w:tc>
          <w:tcPr>
            <w:tcW w:w="886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1.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Kategoria BTA o profilu rozszerzonym - IgG-IgA-IgM-C3c-C3d-ctl lub uproszczonym - IgG-C3d-ctl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rozszerzony –10 pkt</w:t>
            </w:r>
          </w:p>
          <w:p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uproszczony - 0 pkt</w:t>
            </w:r>
          </w:p>
        </w:tc>
        <w:tc>
          <w:tcPr>
            <w:tcW w:w="1701" w:type="dxa"/>
            <w:vAlign w:val="center"/>
          </w:tcPr>
          <w:p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:rsidTr="00313BA8">
        <w:tc>
          <w:tcPr>
            <w:tcW w:w="886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2.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Odczynniki krwinkowe trwałe do 7 dni na pokładzie analizatora, dzięki zapewnieniu ich chłodzenia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TAK – 20 pkt</w:t>
            </w:r>
          </w:p>
          <w:p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 -  0 pkt</w:t>
            </w:r>
          </w:p>
        </w:tc>
        <w:tc>
          <w:tcPr>
            <w:tcW w:w="1701" w:type="dxa"/>
            <w:vAlign w:val="center"/>
          </w:tcPr>
          <w:p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:rsidTr="00313BA8">
        <w:tc>
          <w:tcPr>
            <w:tcW w:w="886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3.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Wykonywanie zawiesiny roboczej krwinek czerwonych w jednorazowych naczynkach na pokładzie analizatora lub w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mikrokolumienkach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opakowania po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diluencie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z fabrycznie naniesionym odczynnikiem (buforem) do zawieszania zapewniającym brak możliwości kontaminacji próbki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TAK - 5 pkt</w:t>
            </w:r>
          </w:p>
          <w:p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  <w:p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:rsidTr="00313BA8">
        <w:tc>
          <w:tcPr>
            <w:tcW w:w="886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4.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ind w:left="0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Wirówka posiada wyjmowany bez użycia narzędzi rotor w celu łatwej dezynfekcji komory wirowania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313BA8" w:rsidRPr="00354857" w:rsidRDefault="00313BA8" w:rsidP="00EB7481">
            <w:pPr>
              <w:pStyle w:val="Tekstpodstawowywcity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TAK – 5 pkt</w:t>
            </w:r>
          </w:p>
          <w:p w:rsidR="00313BA8" w:rsidRPr="00354857" w:rsidRDefault="00313BA8" w:rsidP="00EB7481">
            <w:pPr>
              <w:pStyle w:val="Tekstpodstawowywcity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 xml:space="preserve">    NIE – 0 pkt</w:t>
            </w:r>
          </w:p>
        </w:tc>
        <w:tc>
          <w:tcPr>
            <w:tcW w:w="1701" w:type="dxa"/>
            <w:vAlign w:val="center"/>
          </w:tcPr>
          <w:p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313BA8" w:rsidRPr="00354857" w:rsidRDefault="00313BA8" w:rsidP="00313BA8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F0090" w:rsidRPr="00354857" w:rsidRDefault="00CF0090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CF0090" w:rsidRPr="0035485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F44" w:rsidRDefault="00190F44" w:rsidP="001F0945">
      <w:pPr>
        <w:spacing w:after="0" w:line="240" w:lineRule="auto"/>
      </w:pPr>
      <w:r>
        <w:separator/>
      </w:r>
    </w:p>
  </w:endnote>
  <w:endnote w:type="continuationSeparator" w:id="0">
    <w:p w:rsidR="00190F44" w:rsidRDefault="00190F44" w:rsidP="001F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F44" w:rsidRDefault="00190F44" w:rsidP="001F0945">
      <w:pPr>
        <w:spacing w:after="0" w:line="240" w:lineRule="auto"/>
      </w:pPr>
      <w:r>
        <w:separator/>
      </w:r>
    </w:p>
  </w:footnote>
  <w:footnote w:type="continuationSeparator" w:id="0">
    <w:p w:rsidR="00190F44" w:rsidRDefault="00190F44" w:rsidP="001F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945" w:rsidRDefault="001F0945">
    <w:pPr>
      <w:pStyle w:val="Nagwek"/>
      <w:rPr>
        <w:rFonts w:ascii="Times New Roman" w:hAnsi="Times New Roman" w:cs="Times New Roman"/>
      </w:rPr>
    </w:pPr>
    <w:r w:rsidRPr="001F0945">
      <w:rPr>
        <w:rFonts w:ascii="Times New Roman" w:hAnsi="Times New Roman" w:cs="Times New Roman"/>
      </w:rPr>
      <w:t>Nr sprawy: ZP/68/2020 – Pakiet 2</w:t>
    </w:r>
  </w:p>
  <w:p w:rsidR="001F0945" w:rsidRPr="001F0945" w:rsidRDefault="001F0945" w:rsidP="001F0945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Załącznik nr 1.2B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0E0E"/>
    <w:multiLevelType w:val="hybridMultilevel"/>
    <w:tmpl w:val="C5CA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93DCB"/>
    <w:multiLevelType w:val="hybridMultilevel"/>
    <w:tmpl w:val="94B43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312A6"/>
    <w:multiLevelType w:val="singleLevel"/>
    <w:tmpl w:val="1DAA5486"/>
    <w:lvl w:ilvl="0">
      <w:numFmt w:val="bullet"/>
      <w:lvlText w:val="-"/>
      <w:lvlJc w:val="left"/>
      <w:pPr>
        <w:tabs>
          <w:tab w:val="num" w:pos="1020"/>
        </w:tabs>
        <w:ind w:left="1020" w:hanging="360"/>
      </w:pPr>
    </w:lvl>
  </w:abstractNum>
  <w:abstractNum w:abstractNumId="3" w15:restartNumberingAfterBreak="0">
    <w:nsid w:val="466E1B10"/>
    <w:multiLevelType w:val="hybridMultilevel"/>
    <w:tmpl w:val="DDF6B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945"/>
    <w:rsid w:val="00190F44"/>
    <w:rsid w:val="001A3E89"/>
    <w:rsid w:val="001F0945"/>
    <w:rsid w:val="00237693"/>
    <w:rsid w:val="0024297A"/>
    <w:rsid w:val="00243EAB"/>
    <w:rsid w:val="002742D6"/>
    <w:rsid w:val="00313BA8"/>
    <w:rsid w:val="00354857"/>
    <w:rsid w:val="003A1124"/>
    <w:rsid w:val="00434DBB"/>
    <w:rsid w:val="004F44A0"/>
    <w:rsid w:val="007A480D"/>
    <w:rsid w:val="008A0D4E"/>
    <w:rsid w:val="009827F9"/>
    <w:rsid w:val="00A759D4"/>
    <w:rsid w:val="00CB31F4"/>
    <w:rsid w:val="00CF0090"/>
    <w:rsid w:val="00D418A3"/>
    <w:rsid w:val="00F26511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BED5"/>
  <w15:chartTrackingRefBased/>
  <w15:docId w15:val="{3078737C-A777-4905-80CF-DD5D7F66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945"/>
  </w:style>
  <w:style w:type="paragraph" w:styleId="Stopka">
    <w:name w:val="footer"/>
    <w:basedOn w:val="Normalny"/>
    <w:link w:val="Stopka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945"/>
  </w:style>
  <w:style w:type="table" w:styleId="Tabela-Siatka">
    <w:name w:val="Table Grid"/>
    <w:basedOn w:val="Standardowy"/>
    <w:uiPriority w:val="39"/>
    <w:rsid w:val="003A1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D418A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18A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0090"/>
    <w:pPr>
      <w:spacing w:after="0" w:line="240" w:lineRule="auto"/>
      <w:ind w:left="720"/>
      <w:contextualSpacing/>
    </w:pPr>
    <w:rPr>
      <w:rFonts w:ascii="Calibri" w:eastAsia="Calibri" w:hAnsi="Calibri" w:cs="Calibri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13BA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13B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4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2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7</Pages>
  <Words>2251</Words>
  <Characters>13510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8</cp:revision>
  <cp:lastPrinted>2020-12-28T12:11:00Z</cp:lastPrinted>
  <dcterms:created xsi:type="dcterms:W3CDTF">2020-12-14T10:11:00Z</dcterms:created>
  <dcterms:modified xsi:type="dcterms:W3CDTF">2020-12-28T12:12:00Z</dcterms:modified>
</cp:coreProperties>
</file>