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23/12/2020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S250</w:t>
      </w:r>
    </w:p>
    <w:p w:rsidR="002036C7" w:rsidRDefault="002036C7" w:rsidP="002036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2036C7" w:rsidRDefault="002036C7" w:rsidP="002036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2036C7" w:rsidRDefault="002036C7" w:rsidP="002036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2036C7" w:rsidRDefault="002036C7" w:rsidP="002036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2036C7" w:rsidRDefault="002036C7" w:rsidP="002036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2036C7" w:rsidRDefault="002036C7" w:rsidP="002036C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Usługi bazy danych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2020/S 250-625303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:rsidR="002036C7" w:rsidRDefault="002036C7" w:rsidP="002036C7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 Miasto 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</w:t>
        </w:r>
      </w:hyperlink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2036C7" w:rsidRDefault="002036C7" w:rsidP="002036C7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Dostęp do wyszukiwarki EBSCO EDS z listą publikacji PF i narzędziem linkującym FTF w wersji bez załadowanego katalogu oraz do bazy ACM Digital Library lub równoważnych – KC-zp.272-717/20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KC-zp.272-717/20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lastRenderedPageBreak/>
        <w:t>72320000 Usługi bazy danych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Usługi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Dostęp do wyszukiwarki EBSCO EDS z listą publikacji PF i narzędziem linkującym FTF w wersji bez załadowanego katalogu oraz do bazy ACM Digital Library lub równoważnych – KC-zp.272-717/20, opis przedmiotu zamówienia zgodnie z pkt 3.1 SIWZ odpowiednio dla poszczególnych zadań częściowych: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— zadanie częściowe nr 1 – dostęp do wyszukiwarki EBSCO Discovery Service (EDS) z listą publikacji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Publication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Finder (PF) i narzędziem linkującym EBSCO Full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Text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Finder (FTF) w wersji bez załadowanego katalogu lub równoważnych,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zadanie częściowe nr 2 – dostęp do bazy ACM Digital Library lub równoważnej.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Dostęp do wyszukiwarki EBSCO Discovery Service (EDS) z listą publikacji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Publication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Finder (PF) i narzędziem linkującym EBSCO Full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Text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Finder (FTF) w wersji bez załadowanego katalogu lub równoważnych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72320000 Usługi bazy danych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 POLSKA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Dostęp do wyszukiwarki EBSCO Discovery Service (EDS) z listą publikacji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Publication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Finder (PF) i narzędziem linkującym EBSCO Full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Text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Finder (FTF) w wersji bez załadowanego katalogu lub równoważnych, opis przedmiotu zamówienia zgodnie z pkt 3.1. SIWZ odpowiednio dla zadania częściowego nr 1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Koniec: 31/12/2021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Termin realizacji: od daty podpisania umowy do 31.12.2021. Przewidywany termin rozpoczęcia realizacji zamówienia – 1.1.2021.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oceny ofert: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cenna – 60 %,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polski interfejs – 40 %.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Dostęp do bazy ACM Digital Library lub równoważnej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72320000 Usługi bazy danych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 POLSKA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Dostęp do bazy ACM Digital Library lub równoważnej, opis przedmiotu zamówienia zgodnie z pkt 3.1. SIWZ odpowiednio dla zadania częściowego nr 2.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Koniec: 31/12/2021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musi zostać zrealizowane w terminie: od daty podpisania umowy do 31.12.2021. Przewidywany termin rozpoczęcia realizacji zamówienia – 1.1.2021.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oceny ofert: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cena – 60 %,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polski interfejs – 40 %.</w:t>
      </w:r>
    </w:p>
    <w:p w:rsidR="002036C7" w:rsidRDefault="002036C7" w:rsidP="002036C7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1. O udzielenie zamówienia mogą ubiegać się Wykonawcy, którzy nie podlegają wykluczeniu na podstawie art. 24 ust. 1 pkt 12–23 oraz art. 24 ust. 5 pkt 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Dokumenty składane na wezwanie Zamawiającego: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;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b) informacja z Krajowego Rejestru Karnego, w zakresie określonym w art. 24 ust. 1 pkt 13, 14 i 21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wystawiona nie wcześniej niż przed terminem 6 miesięcy przed upływem terminu składania ofert;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oświadczenie Wykonawcy o braku wydania wobec niego prawomocnego wyroku sądu lub ostateczne decyzji administracyjnej o zaleganiu z uiszczaniem podatków, opłat lub składek na ubezpieczenia społeczne lub zdrowotne,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oświadczenie Wykonawcy o braku orzeczenia wobec niego tytułem środka zapobiegawczego zakazu ubiegania się o zamówienia publiczne.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Wykonawcy zagraniczni: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Jeżeli Wykonawca ma siedzibę lub miejsce zamieszkania poza terytorium Rzeczypospolitej Polskiej, zamiast dokumentów, o których mowa w pkt 2 lit. a i b składa odpowiednio dokumenty wskazane w pkt 7.5.1 SIWZ.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do SIWZ odpowiednio dla zadania częściowego nr 1 i 2.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Przewidywane zmiany umowy określono we wzorze umowy stanowiącym załącznik do SIWZ odpowiednio dla zadania częściowego nr 1 i 2.</w:t>
      </w:r>
    </w:p>
    <w:p w:rsidR="002036C7" w:rsidRDefault="002036C7" w:rsidP="002036C7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przyspieszona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Uzasadnienie: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Pilna potrzeba udzielenia zamówienia i skrócenie terminu składania ofert wynika z konieczności zagwarantowania ciągłości prenumeraty baz danych w wersji elektronicznej.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IV.1.8)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tak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04/01/2021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09:30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IV.2.6)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2 (od ustalonej daty składania ofert)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04/01/2021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10:00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Staszica, al. Mickiewicza 30, 30-059 Kraków, portiernia, paw. C-1, POLSKA.</w:t>
      </w:r>
    </w:p>
    <w:p w:rsidR="002036C7" w:rsidRDefault="002036C7" w:rsidP="002036C7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Akceptowane będą faktury elektroniczne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Zamawiający żąda, aby Wykonawca złożył wraz z ofertą: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wypełniony i podpisany przez osobę upoważnioną do składania oświadczeń woli w imieniu Wykonawcy formularz ofertowy – zgodnie z załącznikiem nr 1 do SIWZ;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jednolity europejski dokument zamówienia;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pełnomocnictwo lub inny dokument, z którego wynika prawo do podpisania oferty oraz innych dokumentów składanych wraz z ofertą.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W terminie 3 dni od dnia zamieszczenia przez Zamawiającego na stronie internetowej informacji z otwarcia ofert, o której mowa w art. 86 ust.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 przypadku wspólnego ubiegania się o zamówienie przez Wykonawców oświadczenie o przynależności lub braku przynależności do tej samej grupy kapitałowej składa każdy z Wykonawców.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2) Wykonawca składa ofertę w formie elektronicznej za pośrednictwem platformy pod adresem (</w:t>
      </w:r>
      <w:hyperlink r:id="rId1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https://e-ProPublico.pl/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3) Ofertę i oświadczenie JEDZ, sporządza się, pod rygorem nieważności, w postaci elektronicznej i opatruje się kwalifikowanym podpisem elektronicznym.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4) Pełnomocnictwo musi być złożone w postaci elektronicznej, podpisane przy użyciu kwalifikowanego podpisu elektronicznego lub elektronicznej kopii notarialnie poświadczonej.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 Poświadczenie za zgodność z oryginałem elektronicznej kopii dokumentu lub oświadczenia następuje przy użyciu kwalifikowanego podpisu elektronicznego.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:rsidR="002036C7" w:rsidRDefault="002036C7" w:rsidP="002036C7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2036C7" w:rsidRDefault="002036C7" w:rsidP="002036C7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18/12/2020</w:t>
      </w:r>
    </w:p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480" w:rsidRDefault="00945480">
      <w:r>
        <w:separator/>
      </w:r>
    </w:p>
  </w:endnote>
  <w:endnote w:type="continuationSeparator" w:id="0">
    <w:p w:rsidR="00945480" w:rsidRDefault="0094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31" w:rsidRDefault="00CF7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480" w:rsidRDefault="00945480">
      <w:r>
        <w:separator/>
      </w:r>
    </w:p>
  </w:footnote>
  <w:footnote w:type="continuationSeparator" w:id="0">
    <w:p w:rsidR="00945480" w:rsidRDefault="0094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31" w:rsidRDefault="00CF77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31" w:rsidRDefault="00CF7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C5873"/>
    <w:multiLevelType w:val="multilevel"/>
    <w:tmpl w:val="EFF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480"/>
    <w:rsid w:val="000C4A85"/>
    <w:rsid w:val="001306AD"/>
    <w:rsid w:val="00161679"/>
    <w:rsid w:val="00180468"/>
    <w:rsid w:val="001F2F5B"/>
    <w:rsid w:val="001F5C7C"/>
    <w:rsid w:val="002036C7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45480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CF7731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6747D8-C938-492A-B4C7-E0C02F5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2036C7"/>
  </w:style>
  <w:style w:type="character" w:customStyle="1" w:styleId="oj">
    <w:name w:val="oj"/>
    <w:rsid w:val="002036C7"/>
  </w:style>
  <w:style w:type="character" w:styleId="Hipercze">
    <w:name w:val="Hyperlink"/>
    <w:uiPriority w:val="99"/>
    <w:semiHidden/>
    <w:unhideWhenUsed/>
    <w:rsid w:val="002036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36C7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2036C7"/>
    <w:pPr>
      <w:spacing w:before="100" w:beforeAutospacing="1" w:after="100" w:afterAutospacing="1"/>
    </w:pPr>
  </w:style>
  <w:style w:type="character" w:customStyle="1" w:styleId="nomark">
    <w:name w:val="nomark"/>
    <w:rsid w:val="002036C7"/>
  </w:style>
  <w:style w:type="character" w:customStyle="1" w:styleId="timark">
    <w:name w:val="timark"/>
    <w:rsid w:val="002036C7"/>
  </w:style>
  <w:style w:type="character" w:customStyle="1" w:styleId="nutscode">
    <w:name w:val="nutscode"/>
    <w:rsid w:val="002036C7"/>
  </w:style>
  <w:style w:type="character" w:customStyle="1" w:styleId="cpvcode">
    <w:name w:val="cpvcode"/>
    <w:rsid w:val="0020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24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4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7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8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7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6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2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735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8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7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9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5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9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6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5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7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2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3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1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3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7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9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8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2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99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4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29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8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5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4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91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8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3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4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1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8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6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5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1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530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5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0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1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4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9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7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87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7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9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1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3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7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6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2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2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6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8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1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57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2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68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4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8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5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7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4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4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5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3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4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3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25303-2020:TEXT:PL:HTML" TargetMode="External"/><Relationship Id="rId13" Type="http://schemas.openxmlformats.org/officeDocument/2006/relationships/hyperlink" Target="http://www.dzp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625303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625303-2020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625303-2020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25303-2020:TEXT:PL:HTML" TargetMode="External"/><Relationship Id="rId14" Type="http://schemas.openxmlformats.org/officeDocument/2006/relationships/hyperlink" Target="http://www.dzp.agh.edu.pl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1577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2020-12-23T08:58:00Z</dcterms:created>
  <dcterms:modified xsi:type="dcterms:W3CDTF">2020-12-23T08:59:00Z</dcterms:modified>
</cp:coreProperties>
</file>