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742B8" w:rsidRDefault="0021206B" w:rsidP="003742B8">
      <w:pPr>
        <w:pStyle w:val="Nagwek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bookmarkStart w:id="0" w:name="_GoBack"/>
      <w:bookmarkEnd w:id="0"/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D925F6">
        <w:rPr>
          <w:rFonts w:ascii="Verdana" w:hAnsi="Verdana"/>
          <w:sz w:val="16"/>
          <w:szCs w:val="16"/>
        </w:rPr>
        <w:t>11-02</w:t>
      </w:r>
      <w:r w:rsidR="00E5026B" w:rsidRPr="003742B8">
        <w:rPr>
          <w:sz w:val="22"/>
          <w:szCs w:val="22"/>
        </w:rPr>
        <w:tab/>
      </w:r>
    </w:p>
    <w:p w:rsidR="0021206B" w:rsidRPr="003742B8" w:rsidRDefault="0021206B" w:rsidP="003742B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206B" w:rsidRPr="003742B8" w:rsidRDefault="00D74780" w:rsidP="003742B8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3742B8">
        <w:rPr>
          <w:b/>
          <w:sz w:val="22"/>
          <w:szCs w:val="22"/>
        </w:rPr>
        <w:t>WYKONAWCY</w:t>
      </w:r>
      <w:r w:rsidR="0021206B" w:rsidRPr="003742B8">
        <w:rPr>
          <w:b/>
          <w:sz w:val="22"/>
          <w:szCs w:val="22"/>
        </w:rPr>
        <w:t xml:space="preserve">, </w:t>
      </w:r>
    </w:p>
    <w:p w:rsidR="0021206B" w:rsidRPr="003742B8" w:rsidRDefault="00D74780" w:rsidP="003742B8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3742B8">
        <w:rPr>
          <w:b/>
          <w:sz w:val="22"/>
          <w:szCs w:val="22"/>
        </w:rPr>
        <w:t xml:space="preserve">którzy pobrali </w:t>
      </w:r>
      <w:r w:rsidR="0021206B" w:rsidRPr="003742B8">
        <w:rPr>
          <w:b/>
          <w:sz w:val="22"/>
          <w:szCs w:val="22"/>
        </w:rPr>
        <w:t>SIWZ</w:t>
      </w:r>
    </w:p>
    <w:p w:rsidR="003742B8" w:rsidRDefault="003742B8" w:rsidP="003742B8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21206B" w:rsidRPr="003742B8" w:rsidRDefault="0021206B" w:rsidP="003742B8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3742B8">
        <w:rPr>
          <w:rFonts w:ascii="Times New Roman" w:hAnsi="Times New Roman"/>
          <w:sz w:val="22"/>
          <w:szCs w:val="22"/>
        </w:rPr>
        <w:t>ODPOWIEDŹ NA ZAPYTANIA W SPRAWIE SIWZ</w:t>
      </w:r>
      <w:r w:rsidR="00D33BAB" w:rsidRPr="003742B8">
        <w:rPr>
          <w:rFonts w:ascii="Times New Roman" w:hAnsi="Times New Roman"/>
          <w:sz w:val="22"/>
          <w:szCs w:val="22"/>
        </w:rPr>
        <w:t>_3</w:t>
      </w:r>
    </w:p>
    <w:p w:rsidR="0061472E" w:rsidRPr="003742B8" w:rsidRDefault="0061472E" w:rsidP="003742B8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3742B8" w:rsidRDefault="0021206B" w:rsidP="003742B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742B8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3742B8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3742B8">
        <w:rPr>
          <w:sz w:val="22"/>
          <w:szCs w:val="22"/>
        </w:rPr>
        <w:t>(</w:t>
      </w:r>
      <w:r w:rsidR="002405E1" w:rsidRPr="003742B8">
        <w:rPr>
          <w:sz w:val="22"/>
          <w:szCs w:val="22"/>
        </w:rPr>
        <w:t>Dz. U. z  201</w:t>
      </w:r>
      <w:r w:rsidR="00E700D7" w:rsidRPr="003742B8">
        <w:rPr>
          <w:sz w:val="22"/>
          <w:szCs w:val="22"/>
        </w:rPr>
        <w:t>9</w:t>
      </w:r>
      <w:r w:rsidR="00775A72" w:rsidRPr="003742B8">
        <w:rPr>
          <w:sz w:val="22"/>
          <w:szCs w:val="22"/>
        </w:rPr>
        <w:t xml:space="preserve"> r. poz. </w:t>
      </w:r>
      <w:r w:rsidR="00E700D7" w:rsidRPr="003742B8">
        <w:rPr>
          <w:sz w:val="22"/>
          <w:szCs w:val="22"/>
        </w:rPr>
        <w:t>1843</w:t>
      </w:r>
      <w:r w:rsidR="00D90657" w:rsidRPr="003742B8">
        <w:rPr>
          <w:sz w:val="22"/>
          <w:szCs w:val="22"/>
        </w:rPr>
        <w:t xml:space="preserve"> ze zm.</w:t>
      </w:r>
      <w:r w:rsidR="0083033C" w:rsidRPr="003742B8">
        <w:rPr>
          <w:sz w:val="22"/>
          <w:szCs w:val="22"/>
        </w:rPr>
        <w:t xml:space="preserve">) </w:t>
      </w:r>
      <w:r w:rsidRPr="003742B8">
        <w:rPr>
          <w:sz w:val="22"/>
          <w:szCs w:val="22"/>
        </w:rPr>
        <w:t>w trybie „</w:t>
      </w:r>
      <w:r w:rsidR="00F634DF" w:rsidRPr="003742B8">
        <w:rPr>
          <w:b/>
          <w:sz w:val="22"/>
          <w:szCs w:val="22"/>
        </w:rPr>
        <w:t>przetarg nieograniczony</w:t>
      </w:r>
      <w:r w:rsidRPr="003742B8">
        <w:rPr>
          <w:b/>
          <w:sz w:val="22"/>
          <w:szCs w:val="22"/>
        </w:rPr>
        <w:t>”</w:t>
      </w:r>
      <w:r w:rsidR="003075BE" w:rsidRPr="003742B8">
        <w:rPr>
          <w:sz w:val="22"/>
          <w:szCs w:val="22"/>
        </w:rPr>
        <w:t xml:space="preserve">/, </w:t>
      </w:r>
      <w:r w:rsidR="00476899" w:rsidRPr="003742B8">
        <w:rPr>
          <w:sz w:val="22"/>
          <w:szCs w:val="22"/>
        </w:rPr>
        <w:t xml:space="preserve">którego przedmiotem jest </w:t>
      </w:r>
      <w:r w:rsidR="00F634DF" w:rsidRPr="003742B8">
        <w:rPr>
          <w:b/>
          <w:sz w:val="22"/>
          <w:szCs w:val="22"/>
        </w:rPr>
        <w:t>przebudowa i remont kapitalny Domu Studenckiego DS-11 Bonus przy ul. Budryka 5 w Krakowie - KC-zp.272-431/20</w:t>
      </w:r>
      <w:r w:rsidRPr="003742B8">
        <w:rPr>
          <w:b/>
          <w:sz w:val="22"/>
          <w:szCs w:val="22"/>
        </w:rPr>
        <w:t>.</w:t>
      </w:r>
    </w:p>
    <w:p w:rsidR="0021206B" w:rsidRPr="003742B8" w:rsidRDefault="0021206B" w:rsidP="003742B8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3742B8" w:rsidRDefault="0021206B" w:rsidP="003742B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3742B8">
        <w:rPr>
          <w:b/>
          <w:sz w:val="22"/>
          <w:szCs w:val="22"/>
          <w:u w:val="single"/>
        </w:rPr>
        <w:t>Treść zapytania brzmi następująco: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>1. Czy Zamawiający przewidział niezbędne miejsce do składowania i odbioru gruzu przez ciężki sprzęt, wykonywane prace będą stanowiły dużą uciążliwość dla sąsiedztwa. Od strony ul. Budryka jest niewystarczająca ilość miejsca. Na tyłach budynku DS-11 jest osiedle studenckie i ograniczony dojazd do niego, dojazd tylko drogą pożarową oraz boisko zlokalizowane bliżej akademika DS-10. Prosimy o informacje czy Wykonawca może liczyć na odpowiednia ilość miejsca niezbędną do sprawnego prowadzenia robót budowlanych ?</w:t>
      </w:r>
    </w:p>
    <w:p w:rsidR="003742B8" w:rsidRPr="003742B8" w:rsidRDefault="003742B8" w:rsidP="003742B8">
      <w:pPr>
        <w:jc w:val="both"/>
        <w:rPr>
          <w:color w:val="FF3333"/>
          <w:sz w:val="22"/>
          <w:szCs w:val="22"/>
        </w:rPr>
      </w:pPr>
      <w:r w:rsidRPr="003742B8">
        <w:rPr>
          <w:color w:val="FF3333"/>
          <w:sz w:val="22"/>
          <w:szCs w:val="22"/>
        </w:rPr>
        <w:t>Organizacja placu budowy leży po stronie wykonawcy. Dopuszczalne jest powiększenie placu budowy w porozumieniu z Zamawiającym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>2. Czy będzie możliwe uzyskanie niezbędnych zgód na dojazd sprzętu ciężkiego od ul. Reymonta lub Nawojki (zależnie od decyzji),  mowa tutaj także o pojazdach z betoniarkami oraz  pompami do betonu.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color w:val="FF3333"/>
          <w:sz w:val="22"/>
          <w:szCs w:val="22"/>
        </w:rPr>
        <w:t>Tak (jeżeli mowa o zgodach ze strony Zamawiającego dotyczących terenów będących w jego zarządzie, tj. terenie Miasteczka Studenckiego AGH). Wszelkie zgody na drogach należących do innych zarządców są po stronie Wykonawcy.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>3. Czy zamawiający będzie w stanie ograniczyć ruch na ul. Budryka , duża ilość betonowań spowoduje zablokowanie całej drogi, szacujemy że średnio raz na tydzień przez okres dwóch miesięcy.</w:t>
      </w:r>
    </w:p>
    <w:p w:rsidR="003742B8" w:rsidRPr="003742B8" w:rsidRDefault="003742B8" w:rsidP="003742B8">
      <w:pPr>
        <w:jc w:val="both"/>
        <w:rPr>
          <w:color w:val="FF3333"/>
          <w:sz w:val="22"/>
          <w:szCs w:val="22"/>
        </w:rPr>
      </w:pPr>
      <w:r w:rsidRPr="003742B8">
        <w:rPr>
          <w:color w:val="FF3333"/>
          <w:sz w:val="22"/>
          <w:szCs w:val="22"/>
        </w:rPr>
        <w:t xml:space="preserve">Tak, na czas betonowań istnieje możliwość ograniczenia ruchu na ul. Budryka, pod warunkiem, że zostanie utrzymana przejezdność dla innych pojazdów. 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 xml:space="preserve">4. </w:t>
      </w:r>
      <w:r w:rsidRPr="003742B8">
        <w:rPr>
          <w:rFonts w:eastAsia="Calibri"/>
          <w:sz w:val="22"/>
          <w:szCs w:val="22"/>
        </w:rPr>
        <w:t>Czy Zamawiający obniży wysokość kar umownych w sposób następujący:</w:t>
      </w:r>
    </w:p>
    <w:p w:rsidR="003742B8" w:rsidRPr="003742B8" w:rsidRDefault="003742B8" w:rsidP="003742B8">
      <w:pPr>
        <w:widowControl w:val="0"/>
        <w:numPr>
          <w:ilvl w:val="2"/>
          <w:numId w:val="3"/>
        </w:numPr>
        <w:tabs>
          <w:tab w:val="left" w:pos="284"/>
          <w:tab w:val="left" w:pos="993"/>
        </w:tabs>
        <w:suppressAutoHyphens/>
        <w:overflowPunct w:val="0"/>
        <w:ind w:left="426" w:firstLine="141"/>
        <w:jc w:val="both"/>
        <w:rPr>
          <w:sz w:val="22"/>
          <w:szCs w:val="22"/>
        </w:rPr>
      </w:pPr>
      <w:r w:rsidRPr="003742B8">
        <w:rPr>
          <w:rFonts w:eastAsia="Calibri"/>
          <w:sz w:val="22"/>
          <w:szCs w:val="22"/>
        </w:rPr>
        <w:t xml:space="preserve">za zwłokę w wykonaniu przedmiotu Umowy, w wysokości 0,1% całkowitego wynagrodzenia brutto określonego w §7 ust. 1, za każdy dzień </w:t>
      </w:r>
      <w:r w:rsidRPr="003742B8">
        <w:rPr>
          <w:rFonts w:eastAsia="Calibri"/>
          <w:sz w:val="22"/>
          <w:szCs w:val="22"/>
        </w:rPr>
        <w:lastRenderedPageBreak/>
        <w:t>zwłoki liczony od terminu określonego w §3 ust. 2;</w:t>
      </w:r>
    </w:p>
    <w:p w:rsidR="003742B8" w:rsidRPr="003742B8" w:rsidRDefault="003742B8" w:rsidP="003742B8">
      <w:pPr>
        <w:widowControl w:val="0"/>
        <w:numPr>
          <w:ilvl w:val="2"/>
          <w:numId w:val="3"/>
        </w:numPr>
        <w:tabs>
          <w:tab w:val="left" w:pos="284"/>
          <w:tab w:val="left" w:pos="993"/>
        </w:tabs>
        <w:suppressAutoHyphens/>
        <w:overflowPunct w:val="0"/>
        <w:ind w:left="426" w:firstLine="141"/>
        <w:jc w:val="both"/>
        <w:rPr>
          <w:sz w:val="22"/>
          <w:szCs w:val="22"/>
        </w:rPr>
      </w:pPr>
      <w:r w:rsidRPr="003742B8">
        <w:rPr>
          <w:rFonts w:eastAsia="Calibri"/>
          <w:sz w:val="22"/>
          <w:szCs w:val="22"/>
        </w:rPr>
        <w:t>za zwłokę w usunięciu wad stwierdzonych przy odbiorze, w okresie gwarancji lub okresie rękojmi za wady w wysokości 0,1% całkowitego wynagrodzenia brutto określonego w §7 ust. 1 za każdy dzień zwłoki liczony od dnia wyznaczonego na usunięcie wad;</w:t>
      </w:r>
    </w:p>
    <w:p w:rsidR="003742B8" w:rsidRPr="003742B8" w:rsidRDefault="003742B8" w:rsidP="003742B8">
      <w:pPr>
        <w:widowControl w:val="0"/>
        <w:numPr>
          <w:ilvl w:val="0"/>
          <w:numId w:val="4"/>
        </w:numPr>
        <w:tabs>
          <w:tab w:val="clear" w:pos="720"/>
          <w:tab w:val="left" w:pos="284"/>
          <w:tab w:val="left" w:pos="993"/>
        </w:tabs>
        <w:suppressAutoHyphens/>
        <w:overflowPunct w:val="0"/>
        <w:jc w:val="both"/>
        <w:rPr>
          <w:sz w:val="22"/>
          <w:szCs w:val="22"/>
        </w:rPr>
      </w:pPr>
      <w:r w:rsidRPr="003742B8">
        <w:rPr>
          <w:rFonts w:eastAsia="Calibri"/>
          <w:sz w:val="22"/>
          <w:szCs w:val="22"/>
        </w:rPr>
        <w:t>za brak zapłaty wynagrodzenia należnego podwykonawcom lub dalszym podwykonawcom, w wysokości 1 000,00 zł;</w:t>
      </w:r>
    </w:p>
    <w:p w:rsidR="003742B8" w:rsidRPr="003742B8" w:rsidRDefault="003742B8" w:rsidP="003742B8">
      <w:pPr>
        <w:widowControl w:val="0"/>
        <w:numPr>
          <w:ilvl w:val="2"/>
          <w:numId w:val="4"/>
        </w:numPr>
        <w:tabs>
          <w:tab w:val="left" w:pos="284"/>
          <w:tab w:val="left" w:pos="993"/>
        </w:tabs>
        <w:suppressAutoHyphens/>
        <w:overflowPunct w:val="0"/>
        <w:ind w:left="426" w:firstLine="141"/>
        <w:jc w:val="both"/>
        <w:rPr>
          <w:sz w:val="22"/>
          <w:szCs w:val="22"/>
        </w:rPr>
      </w:pPr>
      <w:r w:rsidRPr="003742B8">
        <w:rPr>
          <w:rFonts w:eastAsia="Calibri"/>
          <w:sz w:val="22"/>
          <w:szCs w:val="22"/>
        </w:rPr>
        <w:t>za nieterminową zapłatę wynagrodzenia należnego podwykonawcom lub dalszym podwykonawcom, w wysokości 1 000,00 zł;</w:t>
      </w:r>
    </w:p>
    <w:p w:rsidR="003742B8" w:rsidRPr="003742B8" w:rsidRDefault="003742B8" w:rsidP="003742B8">
      <w:pPr>
        <w:widowControl w:val="0"/>
        <w:numPr>
          <w:ilvl w:val="2"/>
          <w:numId w:val="4"/>
        </w:numPr>
        <w:tabs>
          <w:tab w:val="left" w:pos="284"/>
          <w:tab w:val="left" w:pos="993"/>
        </w:tabs>
        <w:suppressAutoHyphens/>
        <w:overflowPunct w:val="0"/>
        <w:ind w:left="426" w:firstLine="141"/>
        <w:jc w:val="both"/>
        <w:rPr>
          <w:sz w:val="22"/>
          <w:szCs w:val="22"/>
        </w:rPr>
      </w:pPr>
      <w:r w:rsidRPr="003742B8">
        <w:rPr>
          <w:rFonts w:eastAsia="Calibri"/>
          <w:sz w:val="22"/>
          <w:szCs w:val="22"/>
        </w:rPr>
        <w:t>za nieprzedłożenie do zaakceptowania projektu umowy o podwykonawstwo, której przedmiotem są roboty budowlane lub projektu jej zmiany, w wysokości 1 000,00 złotych za każdy nieprzedłożony do zaakceptowania projekt umowy lub jej zmiany;</w:t>
      </w:r>
    </w:p>
    <w:p w:rsidR="003742B8" w:rsidRPr="003742B8" w:rsidRDefault="003742B8" w:rsidP="003742B8">
      <w:pPr>
        <w:widowControl w:val="0"/>
        <w:numPr>
          <w:ilvl w:val="2"/>
          <w:numId w:val="4"/>
        </w:numPr>
        <w:tabs>
          <w:tab w:val="left" w:pos="284"/>
          <w:tab w:val="left" w:pos="993"/>
        </w:tabs>
        <w:suppressAutoHyphens/>
        <w:overflowPunct w:val="0"/>
        <w:ind w:left="426" w:firstLine="141"/>
        <w:jc w:val="both"/>
        <w:rPr>
          <w:sz w:val="22"/>
          <w:szCs w:val="22"/>
        </w:rPr>
      </w:pPr>
      <w:r w:rsidRPr="003742B8">
        <w:rPr>
          <w:rFonts w:eastAsia="Calibri"/>
          <w:sz w:val="22"/>
          <w:szCs w:val="22"/>
        </w:rPr>
        <w:t>za nieprzedłożenie poświadczonej za zgodność z oryginałem kopii umowy o podwykonawstwo lub jej zmiany w wysokości 1 000,00 złotych za każdą nieprzedłożoną kopię umowy lub jej zmiany;</w:t>
      </w:r>
    </w:p>
    <w:p w:rsidR="003742B8" w:rsidRPr="003742B8" w:rsidRDefault="003742B8" w:rsidP="003742B8">
      <w:pPr>
        <w:widowControl w:val="0"/>
        <w:numPr>
          <w:ilvl w:val="2"/>
          <w:numId w:val="4"/>
        </w:numPr>
        <w:tabs>
          <w:tab w:val="left" w:pos="284"/>
          <w:tab w:val="left" w:pos="993"/>
        </w:tabs>
        <w:suppressAutoHyphens/>
        <w:overflowPunct w:val="0"/>
        <w:ind w:left="426" w:firstLine="141"/>
        <w:jc w:val="both"/>
        <w:rPr>
          <w:sz w:val="22"/>
          <w:szCs w:val="22"/>
        </w:rPr>
      </w:pPr>
      <w:r w:rsidRPr="003742B8">
        <w:rPr>
          <w:rFonts w:eastAsia="Calibri"/>
          <w:sz w:val="22"/>
          <w:szCs w:val="22"/>
        </w:rPr>
        <w:t xml:space="preserve">za brak dokonania wymaganej przez Zamawiającego zmiany umowy o podwykonawstwo w zakresie terminu zapłaty we wskazanym przez Zamawiającego terminie, w wysokości 1 000,00 złotych; </w:t>
      </w:r>
    </w:p>
    <w:p w:rsidR="003742B8" w:rsidRPr="003742B8" w:rsidRDefault="003742B8" w:rsidP="003742B8">
      <w:pPr>
        <w:widowControl w:val="0"/>
        <w:numPr>
          <w:ilvl w:val="2"/>
          <w:numId w:val="4"/>
        </w:numPr>
        <w:tabs>
          <w:tab w:val="left" w:pos="284"/>
          <w:tab w:val="left" w:pos="993"/>
        </w:tabs>
        <w:suppressAutoHyphens/>
        <w:overflowPunct w:val="0"/>
        <w:ind w:left="426" w:firstLine="141"/>
        <w:jc w:val="both"/>
        <w:rPr>
          <w:sz w:val="22"/>
          <w:szCs w:val="22"/>
        </w:rPr>
      </w:pPr>
      <w:r w:rsidRPr="003742B8">
        <w:rPr>
          <w:rFonts w:eastAsia="Calibri"/>
          <w:sz w:val="22"/>
          <w:szCs w:val="22"/>
        </w:rPr>
        <w:t>jeżeli Wykonawca nie przedstawi dokumentów lub wyjaśnień potwierdzających fakt zatrudnienia osób wskazanych do czynności wymienionych w §5 ust. 19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§5 ust. 19, w wysokości 1 000,00 złotych za każdą ww. osobę.</w:t>
      </w:r>
    </w:p>
    <w:p w:rsidR="003742B8" w:rsidRPr="003742B8" w:rsidRDefault="003742B8" w:rsidP="003742B8">
      <w:pPr>
        <w:widowControl w:val="0"/>
        <w:tabs>
          <w:tab w:val="left" w:pos="284"/>
          <w:tab w:val="left" w:pos="993"/>
        </w:tabs>
        <w:overflowPunct w:val="0"/>
        <w:jc w:val="both"/>
        <w:rPr>
          <w:color w:val="FF3333"/>
          <w:sz w:val="22"/>
          <w:szCs w:val="22"/>
        </w:rPr>
      </w:pPr>
      <w:r w:rsidRPr="003742B8">
        <w:rPr>
          <w:rFonts w:eastAsia="Calibri"/>
          <w:color w:val="FF3333"/>
          <w:sz w:val="22"/>
          <w:szCs w:val="22"/>
        </w:rPr>
        <w:t xml:space="preserve">Zamawiający nie zmienia wysokości kar umownych przewidzianych w projekcie umowy. 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 xml:space="preserve">5.  </w:t>
      </w:r>
      <w:r w:rsidRPr="003742B8">
        <w:rPr>
          <w:rFonts w:eastAsia="Calibri"/>
          <w:sz w:val="22"/>
          <w:szCs w:val="22"/>
        </w:rPr>
        <w:t>Wzór umowy nie zawiera postanowień określających prawo Wykonawcy do wstrzymania (na koszt i ryzyko Zamawiającego) robót, a w konsekwencji prawa do odstąpienia od umowy w przypadku braku zapłaty wymagalnych należności ze strony Zamawiającego. Płynność finansowa w trakcie danej inwestycji stanowi jedną z podstawowych przesłanek prawidłowej realizacji. Cena ofertowa liczona jest przy założeniu, iż nie będzie żadnych opóźnień w płatnościach ze strony Zamawiającego. Inaczej należałoby założyć jakiś koszt finansowy związany z koniecznością okresowego finansowania inwestycji przez wykonawcę. Stąd zasadnym jest, aby wykonawca miał takie prawa, które w sposób oczywisty zabezpieczą jego interesy, które mogą doznać uszczerbku nie z jego winy. Prosimy o wprowadzenie stosownego zapisu do Umowy.</w:t>
      </w:r>
    </w:p>
    <w:p w:rsidR="003742B8" w:rsidRPr="003742B8" w:rsidRDefault="003742B8" w:rsidP="003742B8">
      <w:pPr>
        <w:jc w:val="both"/>
        <w:rPr>
          <w:color w:val="FF3333"/>
          <w:sz w:val="22"/>
          <w:szCs w:val="22"/>
        </w:rPr>
      </w:pPr>
      <w:r w:rsidRPr="003742B8">
        <w:rPr>
          <w:rFonts w:eastAsia="Calibri"/>
          <w:color w:val="FF3333"/>
          <w:sz w:val="22"/>
          <w:szCs w:val="22"/>
        </w:rPr>
        <w:t>W przypadku nieterminowej zapłaty wynagrodzenia przez Zamawiającego przewidziane są odsetki ustawowe – par. 7 ust. 14 projektu umowy.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 xml:space="preserve">6. </w:t>
      </w:r>
      <w:r w:rsidRPr="003742B8">
        <w:rPr>
          <w:rFonts w:eastAsia="Calibri"/>
          <w:sz w:val="22"/>
          <w:szCs w:val="22"/>
        </w:rPr>
        <w:t>Czy Zamawiający dopuszcza zastosowanie</w:t>
      </w:r>
      <w:r w:rsidRPr="003742B8">
        <w:rPr>
          <w:sz w:val="22"/>
          <w:szCs w:val="22"/>
        </w:rPr>
        <w:t xml:space="preserve"> w instalacji fotowoltaicznej paneli z szybą hartowaną o </w:t>
      </w:r>
      <w:r w:rsidRPr="003742B8">
        <w:rPr>
          <w:rFonts w:eastAsia="Calibri"/>
          <w:sz w:val="22"/>
          <w:szCs w:val="22"/>
        </w:rPr>
        <w:t>grubości 3,2mm? Taka grubość szkła jes</w:t>
      </w:r>
      <w:r w:rsidR="00ED55F8">
        <w:rPr>
          <w:rFonts w:eastAsia="Calibri"/>
          <w:sz w:val="22"/>
          <w:szCs w:val="22"/>
        </w:rPr>
        <w:t xml:space="preserve">t standardowo wykorzystywana w </w:t>
      </w:r>
      <w:r w:rsidRPr="003742B8">
        <w:rPr>
          <w:rFonts w:eastAsia="Calibri"/>
          <w:sz w:val="22"/>
          <w:szCs w:val="22"/>
        </w:rPr>
        <w:t>panelach fotowoltaicznych dla zwię</w:t>
      </w:r>
      <w:r w:rsidR="00ED55F8">
        <w:rPr>
          <w:rFonts w:eastAsia="Calibri"/>
          <w:sz w:val="22"/>
          <w:szCs w:val="22"/>
        </w:rPr>
        <w:t xml:space="preserve">kszenia wytrzymałości paneli i </w:t>
      </w:r>
      <w:r w:rsidRPr="003742B8">
        <w:rPr>
          <w:rFonts w:eastAsia="Calibri"/>
          <w:sz w:val="22"/>
          <w:szCs w:val="22"/>
        </w:rPr>
        <w:t>odporności na uszkodzenia mechaniczne związane np. z opadami gradu.</w:t>
      </w:r>
    </w:p>
    <w:p w:rsidR="003742B8" w:rsidRPr="003742B8" w:rsidRDefault="003742B8" w:rsidP="003742B8">
      <w:pPr>
        <w:jc w:val="both"/>
        <w:rPr>
          <w:color w:val="FF3333"/>
          <w:sz w:val="22"/>
          <w:szCs w:val="22"/>
        </w:rPr>
      </w:pPr>
      <w:r w:rsidRPr="003742B8">
        <w:rPr>
          <w:rFonts w:eastAsia="Calibri"/>
          <w:color w:val="FF3333"/>
          <w:sz w:val="22"/>
          <w:szCs w:val="22"/>
        </w:rPr>
        <w:lastRenderedPageBreak/>
        <w:t>Zamawiający dopuszcza zastosowanie w instalacji fotowoltaicznej paneli z szybą hartowaną o grubości 3,2mm, co nie zwalnia Wykonawcy z obowiązku zastosowania paneli o maksymalnym obciążeniu od strony górnej 5400 Pa.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 xml:space="preserve">7. </w:t>
      </w:r>
      <w:r w:rsidRPr="003742B8">
        <w:rPr>
          <w:rFonts w:eastAsia="Calibri"/>
          <w:sz w:val="22"/>
          <w:szCs w:val="22"/>
        </w:rPr>
        <w:t xml:space="preserve">Czy </w:t>
      </w:r>
      <w:r w:rsidRPr="003742B8">
        <w:rPr>
          <w:sz w:val="22"/>
          <w:szCs w:val="22"/>
        </w:rPr>
        <w:t>Z</w:t>
      </w:r>
      <w:r w:rsidRPr="003742B8">
        <w:rPr>
          <w:rFonts w:eastAsia="Calibri"/>
          <w:sz w:val="22"/>
          <w:szCs w:val="22"/>
        </w:rPr>
        <w:t xml:space="preserve">amawiający dopuszcza zastosowanie konstrukcji wsporczej pod panele </w:t>
      </w:r>
      <w:r w:rsidRPr="003742B8">
        <w:rPr>
          <w:rFonts w:eastAsia="Calibri"/>
          <w:sz w:val="22"/>
          <w:szCs w:val="22"/>
        </w:rPr>
        <w:br/>
        <w:t xml:space="preserve">dedykowanej do instalacji fotowoltaicznych składającej się z gotowych, </w:t>
      </w:r>
      <w:r w:rsidRPr="003742B8">
        <w:rPr>
          <w:rFonts w:eastAsia="Calibri"/>
          <w:sz w:val="22"/>
          <w:szCs w:val="22"/>
        </w:rPr>
        <w:br/>
        <w:t xml:space="preserve">prefabrykowanych elementów z certyfikatami EN 1090-2:2008+A1:2011, EN </w:t>
      </w:r>
      <w:r w:rsidRPr="003742B8">
        <w:rPr>
          <w:rFonts w:eastAsia="Calibri"/>
          <w:sz w:val="22"/>
          <w:szCs w:val="22"/>
        </w:rPr>
        <w:br/>
        <w:t>1090-3:2008, EN 1090-1:2009 + A1:2011, PN-EN 1999-1-1:2011</w:t>
      </w:r>
    </w:p>
    <w:p w:rsidR="003742B8" w:rsidRPr="003742B8" w:rsidRDefault="003742B8" w:rsidP="003742B8">
      <w:pPr>
        <w:jc w:val="both"/>
        <w:rPr>
          <w:color w:val="FF3333"/>
          <w:sz w:val="22"/>
          <w:szCs w:val="22"/>
        </w:rPr>
      </w:pPr>
      <w:r w:rsidRPr="003742B8">
        <w:rPr>
          <w:color w:val="FF3333"/>
          <w:sz w:val="22"/>
          <w:szCs w:val="22"/>
        </w:rPr>
        <w:t>Z</w:t>
      </w:r>
      <w:r w:rsidRPr="003742B8">
        <w:rPr>
          <w:rFonts w:eastAsia="Calibri"/>
          <w:color w:val="FF3333"/>
          <w:sz w:val="22"/>
          <w:szCs w:val="22"/>
        </w:rPr>
        <w:t>amawiający dopuszcza zastosowanie dedykowanej do instalacji fotowoltaicznych konstrukcji wsporczej pod panele, składającej się z gotowych, prefabrykowanych elementów z wymaganymi certyfikatami.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 xml:space="preserve">8. </w:t>
      </w:r>
      <w:r w:rsidRPr="003742B8">
        <w:rPr>
          <w:rFonts w:eastAsia="Calibri"/>
          <w:sz w:val="22"/>
          <w:szCs w:val="22"/>
        </w:rPr>
        <w:t>Czy zamawiający dopuszcza zas</w:t>
      </w:r>
      <w:r w:rsidRPr="003742B8">
        <w:rPr>
          <w:sz w:val="22"/>
          <w:szCs w:val="22"/>
        </w:rPr>
        <w:t xml:space="preserve">tosowanie paneli większej mocy jednostkowej, a tym samym </w:t>
      </w:r>
      <w:r w:rsidRPr="003742B8">
        <w:rPr>
          <w:rFonts w:eastAsia="Calibri"/>
          <w:sz w:val="22"/>
          <w:szCs w:val="22"/>
        </w:rPr>
        <w:t>zmniejszenie ilośc</w:t>
      </w:r>
      <w:r w:rsidRPr="003742B8">
        <w:rPr>
          <w:sz w:val="22"/>
          <w:szCs w:val="22"/>
        </w:rPr>
        <w:t xml:space="preserve">i paneli w instalacji przy </w:t>
      </w:r>
      <w:r w:rsidRPr="003742B8">
        <w:rPr>
          <w:rFonts w:eastAsia="Calibri"/>
          <w:sz w:val="22"/>
          <w:szCs w:val="22"/>
        </w:rPr>
        <w:t xml:space="preserve">zachowaniu wymaganej mocy całkowitej </w:t>
      </w:r>
    </w:p>
    <w:p w:rsidR="003742B8" w:rsidRPr="003742B8" w:rsidRDefault="003742B8" w:rsidP="003742B8">
      <w:pPr>
        <w:jc w:val="both"/>
        <w:rPr>
          <w:color w:val="FF3333"/>
          <w:sz w:val="22"/>
          <w:szCs w:val="22"/>
        </w:rPr>
      </w:pPr>
      <w:r w:rsidRPr="003742B8">
        <w:rPr>
          <w:rFonts w:eastAsia="Calibri"/>
          <w:color w:val="FF3333"/>
          <w:sz w:val="22"/>
          <w:szCs w:val="22"/>
        </w:rPr>
        <w:t xml:space="preserve">Tak. Dopuszcza się zastosowanie mniejszej ilości paneli o większej mocy jednostkowej  a tym </w:t>
      </w:r>
      <w:r w:rsidRPr="003742B8">
        <w:rPr>
          <w:color w:val="FF3333"/>
          <w:sz w:val="22"/>
          <w:szCs w:val="22"/>
        </w:rPr>
        <w:t xml:space="preserve">samym </w:t>
      </w:r>
      <w:r w:rsidRPr="003742B8">
        <w:rPr>
          <w:rFonts w:eastAsia="Calibri"/>
          <w:color w:val="FF3333"/>
          <w:sz w:val="22"/>
          <w:szCs w:val="22"/>
        </w:rPr>
        <w:t>zmniejszenie ilośc</w:t>
      </w:r>
      <w:r w:rsidRPr="003742B8">
        <w:rPr>
          <w:color w:val="FF3333"/>
          <w:sz w:val="22"/>
          <w:szCs w:val="22"/>
        </w:rPr>
        <w:t xml:space="preserve">i paneli w instalacji przy </w:t>
      </w:r>
      <w:r w:rsidRPr="003742B8">
        <w:rPr>
          <w:rFonts w:eastAsia="Calibri"/>
          <w:color w:val="FF3333"/>
          <w:sz w:val="22"/>
          <w:szCs w:val="22"/>
        </w:rPr>
        <w:t xml:space="preserve">zachowaniu wymaganej mocy całkowitej 40 </w:t>
      </w:r>
      <w:proofErr w:type="spellStart"/>
      <w:r w:rsidRPr="003742B8">
        <w:rPr>
          <w:rFonts w:eastAsia="Calibri"/>
          <w:color w:val="FF3333"/>
          <w:sz w:val="22"/>
          <w:szCs w:val="22"/>
        </w:rPr>
        <w:t>kWp</w:t>
      </w:r>
      <w:proofErr w:type="spellEnd"/>
      <w:r w:rsidRPr="003742B8">
        <w:rPr>
          <w:rFonts w:eastAsia="Calibri"/>
          <w:color w:val="FF3333"/>
          <w:sz w:val="22"/>
          <w:szCs w:val="22"/>
        </w:rPr>
        <w:t>.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 xml:space="preserve">9. </w:t>
      </w:r>
      <w:r w:rsidRPr="003742B8">
        <w:rPr>
          <w:rFonts w:eastAsia="Calibri"/>
          <w:sz w:val="22"/>
          <w:szCs w:val="22"/>
        </w:rPr>
        <w:t xml:space="preserve">Czy </w:t>
      </w:r>
      <w:r w:rsidRPr="003742B8">
        <w:rPr>
          <w:sz w:val="22"/>
          <w:szCs w:val="22"/>
        </w:rPr>
        <w:t>Z</w:t>
      </w:r>
      <w:r w:rsidRPr="003742B8">
        <w:rPr>
          <w:rFonts w:eastAsia="Calibri"/>
          <w:sz w:val="22"/>
          <w:szCs w:val="22"/>
        </w:rPr>
        <w:t>amawiający wymaga zastosowania systemu blokującego wypływ energii  do sieci?</w:t>
      </w:r>
      <w:r w:rsidR="00ED55F8">
        <w:rPr>
          <w:rFonts w:eastAsia="Calibri"/>
          <w:sz w:val="22"/>
          <w:szCs w:val="22"/>
        </w:rPr>
        <w:t xml:space="preserve"> </w:t>
      </w:r>
      <w:r w:rsidRPr="003742B8">
        <w:rPr>
          <w:rFonts w:eastAsia="Calibri"/>
          <w:sz w:val="22"/>
          <w:szCs w:val="22"/>
        </w:rPr>
        <w:t>W związku z zapisami ustawy o OZE, zamawiający może rozliczać się z nadwyżek energii z  zakł</w:t>
      </w:r>
      <w:r w:rsidRPr="003742B8">
        <w:rPr>
          <w:sz w:val="22"/>
          <w:szCs w:val="22"/>
        </w:rPr>
        <w:t xml:space="preserve">adem energetycznym na zasadzie </w:t>
      </w:r>
      <w:r w:rsidRPr="003742B8">
        <w:rPr>
          <w:rFonts w:eastAsia="Calibri"/>
          <w:sz w:val="22"/>
          <w:szCs w:val="22"/>
        </w:rPr>
        <w:t>bilansowania, co jest dla niego znacznie korzystniejsze.</w:t>
      </w:r>
    </w:p>
    <w:p w:rsidR="003742B8" w:rsidRPr="003742B8" w:rsidRDefault="003742B8" w:rsidP="003742B8">
      <w:pPr>
        <w:jc w:val="both"/>
        <w:rPr>
          <w:color w:val="FF3333"/>
          <w:sz w:val="22"/>
          <w:szCs w:val="22"/>
        </w:rPr>
      </w:pPr>
      <w:r w:rsidRPr="003742B8">
        <w:rPr>
          <w:rFonts w:eastAsia="Calibri"/>
          <w:color w:val="FF3333"/>
          <w:sz w:val="22"/>
          <w:szCs w:val="22"/>
        </w:rPr>
        <w:t>Zamawiający nie wymaga systemu blokującego wypływ energii do sieci.</w:t>
      </w:r>
    </w:p>
    <w:p w:rsidR="003742B8" w:rsidRPr="003742B8" w:rsidRDefault="003742B8" w:rsidP="003742B8">
      <w:pPr>
        <w:jc w:val="both"/>
        <w:rPr>
          <w:sz w:val="22"/>
          <w:szCs w:val="22"/>
        </w:rPr>
      </w:pPr>
      <w:r w:rsidRPr="003742B8">
        <w:rPr>
          <w:sz w:val="22"/>
          <w:szCs w:val="22"/>
        </w:rPr>
        <w:t>10. Czy Zamawiający posiada warunki techniczne przyłączenia inst</w:t>
      </w:r>
      <w:r w:rsidR="00ED55F8">
        <w:rPr>
          <w:sz w:val="22"/>
          <w:szCs w:val="22"/>
        </w:rPr>
        <w:t>alacji fotowoltaicznej do sieci</w:t>
      </w:r>
      <w:r w:rsidRPr="003742B8">
        <w:rPr>
          <w:sz w:val="22"/>
          <w:szCs w:val="22"/>
        </w:rPr>
        <w:t>?</w:t>
      </w:r>
    </w:p>
    <w:p w:rsidR="0021206B" w:rsidRPr="003742B8" w:rsidRDefault="003742B8" w:rsidP="003742B8">
      <w:pPr>
        <w:rPr>
          <w:sz w:val="22"/>
          <w:szCs w:val="22"/>
        </w:rPr>
      </w:pPr>
      <w:r w:rsidRPr="003742B8">
        <w:rPr>
          <w:color w:val="FF3333"/>
          <w:sz w:val="22"/>
          <w:szCs w:val="22"/>
        </w:rPr>
        <w:t>Zamawiający nie posiada warunków technicznych przyłączenia instalacji fotowoltaicznej.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0CC" w:rsidRDefault="00C750CC">
      <w:r>
        <w:separator/>
      </w:r>
    </w:p>
  </w:endnote>
  <w:endnote w:type="continuationSeparator" w:id="0">
    <w:p w:rsidR="00C750CC" w:rsidRDefault="00C75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0CC" w:rsidRDefault="00C750CC">
      <w:r>
        <w:separator/>
      </w:r>
    </w:p>
  </w:footnote>
  <w:footnote w:type="continuationSeparator" w:id="0">
    <w:p w:rsidR="00C750CC" w:rsidRDefault="00C75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D925F6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7420033" wp14:editId="2A0E6857">
          <wp:simplePos x="0" y="0"/>
          <wp:positionH relativeFrom="column">
            <wp:posOffset>-571500</wp:posOffset>
          </wp:positionH>
          <wp:positionV relativeFrom="paragraph">
            <wp:posOffset>256540</wp:posOffset>
          </wp:positionV>
          <wp:extent cx="5942330" cy="76390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2330" cy="763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CD802BE"/>
    <w:multiLevelType w:val="multilevel"/>
    <w:tmpl w:val="B99C4AAA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cs="Verdana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cs="Verdana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cs="Verdana"/>
        <w:b/>
        <w:kern w:val="2"/>
        <w:sz w:val="18"/>
        <w:szCs w:val="18"/>
      </w:rPr>
    </w:lvl>
    <w:lvl w:ilvl="3">
      <w:start w:val="1"/>
      <w:numFmt w:val="none"/>
      <w:suff w:val="nothing"/>
      <w:lvlText w:val=""/>
      <w:lvlJc w:val="center"/>
      <w:pPr>
        <w:tabs>
          <w:tab w:val="num" w:pos="0"/>
        </w:tabs>
        <w:ind w:left="1191" w:hanging="170"/>
      </w:pPr>
      <w:rPr>
        <w:rFonts w:cs="Verdana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cs="Verdana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cs="Verdana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cs="Verdana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cs="Verdana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cs="Verdana"/>
        <w:b/>
        <w:kern w:val="2"/>
        <w:sz w:val="18"/>
        <w:szCs w:val="18"/>
      </w:rPr>
    </w:lvl>
  </w:abstractNum>
  <w:abstractNum w:abstractNumId="3">
    <w:nsid w:val="70703793"/>
    <w:multiLevelType w:val="multilevel"/>
    <w:tmpl w:val="6D74668E"/>
    <w:lvl w:ilvl="0">
      <w:start w:val="4"/>
      <w:numFmt w:val="lowerLetter"/>
      <w:lvlText w:val="%1)"/>
      <w:lvlJc w:val="left"/>
      <w:pPr>
        <w:tabs>
          <w:tab w:val="num" w:pos="72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A2837"/>
    <w:rsid w:val="003075BE"/>
    <w:rsid w:val="00315D72"/>
    <w:rsid w:val="00333103"/>
    <w:rsid w:val="00347E12"/>
    <w:rsid w:val="003742B8"/>
    <w:rsid w:val="003B15E7"/>
    <w:rsid w:val="003D6E6B"/>
    <w:rsid w:val="003F7802"/>
    <w:rsid w:val="0040754F"/>
    <w:rsid w:val="00476899"/>
    <w:rsid w:val="00506285"/>
    <w:rsid w:val="00542F2E"/>
    <w:rsid w:val="00573311"/>
    <w:rsid w:val="005A7BE4"/>
    <w:rsid w:val="0061472E"/>
    <w:rsid w:val="00622ED2"/>
    <w:rsid w:val="00721200"/>
    <w:rsid w:val="00740A3D"/>
    <w:rsid w:val="00775A72"/>
    <w:rsid w:val="007B12A7"/>
    <w:rsid w:val="00825F26"/>
    <w:rsid w:val="0083033C"/>
    <w:rsid w:val="00943AEF"/>
    <w:rsid w:val="009B3CE0"/>
    <w:rsid w:val="009D1AC8"/>
    <w:rsid w:val="009F4EC1"/>
    <w:rsid w:val="00A17896"/>
    <w:rsid w:val="00A27DDB"/>
    <w:rsid w:val="00A45032"/>
    <w:rsid w:val="00BA48E1"/>
    <w:rsid w:val="00C529DB"/>
    <w:rsid w:val="00C750CC"/>
    <w:rsid w:val="00C8246C"/>
    <w:rsid w:val="00C914F4"/>
    <w:rsid w:val="00CA338E"/>
    <w:rsid w:val="00CB1285"/>
    <w:rsid w:val="00D108D9"/>
    <w:rsid w:val="00D33BAB"/>
    <w:rsid w:val="00D74780"/>
    <w:rsid w:val="00D90657"/>
    <w:rsid w:val="00D925F6"/>
    <w:rsid w:val="00DD218F"/>
    <w:rsid w:val="00DD2AB3"/>
    <w:rsid w:val="00DF0345"/>
    <w:rsid w:val="00E5026B"/>
    <w:rsid w:val="00E700D7"/>
    <w:rsid w:val="00E76CE4"/>
    <w:rsid w:val="00ED55F8"/>
    <w:rsid w:val="00F20A6E"/>
    <w:rsid w:val="00F255EB"/>
    <w:rsid w:val="00F271D3"/>
    <w:rsid w:val="00F47BC4"/>
    <w:rsid w:val="00F634DF"/>
    <w:rsid w:val="00F828AE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2</cp:revision>
  <cp:lastPrinted>1900-12-31T23:00:00Z</cp:lastPrinted>
  <dcterms:created xsi:type="dcterms:W3CDTF">2020-11-02T09:56:00Z</dcterms:created>
  <dcterms:modified xsi:type="dcterms:W3CDTF">2020-11-02T09:56:00Z</dcterms:modified>
</cp:coreProperties>
</file>