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Ogłoszenie nr 596857-N-2020 z dnia 2020-10-13 r.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Akademia Górniczo - Hutnicza im. Stanisława Staszica: przebudowa i remont kapitalny Domu Studenckiego DS-11 Bonus przy ul. Budryka 5 w Krakowie - KC-zp.272-431/20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OGŁOSZENIE O ZAMÓWIENIU - Roboty budowlane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Zamieszczanie ogłoszenia: Zamieszczanie obowiązkowe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Ogłoszenie dotyczy: Zamówienia publicznego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Zamówienie dotyczy projektu lub programu współfinansowanego ze środków Unii Europejskiej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Tak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Nazwa projektu lub programu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POWR.03.05.00-00-A076/19 Akademia dostępności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ED43FA">
        <w:rPr>
          <w:sz w:val="20"/>
          <w:szCs w:val="20"/>
        </w:rPr>
        <w:t>Pzp</w:t>
      </w:r>
      <w:proofErr w:type="spellEnd"/>
      <w:r w:rsidRPr="00ED43FA">
        <w:rPr>
          <w:sz w:val="20"/>
          <w:szCs w:val="20"/>
        </w:rPr>
        <w:t>, nie mniejszy niż 30%, osób zatrudnionych przez zakłady pracy chronionej lub wykonawców albo ich jednostki (w %)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SEKCJA I: ZAMAWIAJĄCY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Postępowanie przeprowadza centralny zamawiający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Postępowanie przeprowadza podmiot, któremu zamawiający powierzył/powierzyli przeprowadzenie postępowania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na temat podmiotu któremu zamawiający powierzył/powierzyli prowadzenie postępowania: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Postępowanie jest przeprowadzane wspólnie przez zamawiających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Postępowanie jest przeprowadzane wspólnie z zamawiającymi z innych państw członkowskich Unii Europejskiej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 przypadku przeprowadzania postępowania wspólnie z zamawiającymi z innych państw członkowskich Unii Europejskiej – mające zastosowanie krajowe prawo zamówień publicznych: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I. 1) NAZWA I ADRES: Akademia Górniczo - Hutnicza im. Stanisława Staszica, krajowy numer identyfikacyjny 15770000000000, ul. Al. Mickiewicza  30 , 30-059  Kraków, woj. małopolskie, państwo Polska, tel. (12)6173595, e-mail dzp@agh.edu.pl, faks (12)6173595.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Adres strony internetowej (URL): www.dzp.agh.edu.pl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Adres profilu nabywcy: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I. 2) RODZAJ ZAMAWIAJĄCEGO: Inny (proszę określić):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uczelnia publiczna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I.3) WSPÓLNE UDZIELANIE ZAMÓWIENIA (jeżeli dotyczy):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I.4) KOMUNIKACJA: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Nieograniczony, pełny i bezpośredni dostęp do dokumentów z postępowania można uzyskać pod adresem (URL)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Adres strony internetowej, na której zamieszczona będzie specyfikacja istotnych warunków zamówienia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Tak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www.dzp.agh.edu.pl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Dostęp do dokumentów z postępowania jest ograniczony - więcej informacji można uzyskać pod adresem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Oferty lub wnioski o dopuszczenie do udziału w postępowaniu należy przesyłać: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Elektronicznie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adres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Dopuszczone jest przesłanie ofert lub wniosków o dopuszczenie do udziału w postępowaniu w inny sposób: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Inny sposób: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Wymagane jest przesłanie ofert lub wniosków o dopuszczenie do udziału w postępowaniu w inny sposób: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Tak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Inny sposób: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za pośrednictwem operatora pocztowego w rozumieniu ustawy z dnia 23 listopada 2012 r. – prawo pocztowe (</w:t>
      </w:r>
      <w:proofErr w:type="spellStart"/>
      <w:r w:rsidRPr="00ED43FA">
        <w:rPr>
          <w:sz w:val="20"/>
          <w:szCs w:val="20"/>
        </w:rPr>
        <w:t>Dz.U</w:t>
      </w:r>
      <w:proofErr w:type="spellEnd"/>
      <w:r w:rsidRPr="00ED43FA">
        <w:rPr>
          <w:sz w:val="20"/>
          <w:szCs w:val="20"/>
        </w:rPr>
        <w:t>. poz. 1481 2017 r.), osobiście lub za pośrednictwem posłańca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Adres: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Akademia Górniczo - Hutnicza im. Stanisława Staszica w Krakowie, al. Mickiewicza 30, 30-059 Kraków, Dział Zamówień Publicznych paw. C1 - Portiernia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Nieograniczony, pełny, bezpośredni i bezpłatny dostęp do tych narzędzi można uzyskać pod adresem: (URL)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SEKCJA II: PRZEDMIOT ZAMÓWIENIA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II.1) Nazwa nadana zamówieniu przez zamawiającego: przebudowa i remont kapitalny Domu Studenckiego DS-11 Bonus przy ul. Budryka 5 w Krakowie - KC-zp.272-431/20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Numer referencyjny: KC-zp.272-431/20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Przed wszczęciem postępowania o udzielenie zamówienia przeprowadzono dialog techniczny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II.2) Rodzaj zamówienia: Roboty budowlane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II.3) Informacja o możliwości składania ofert częściowych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Zamówienie podzielone jest na części: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Oferty lub wnioski o dopuszczenie do udziału w postępowaniu można składać w odniesieniu do: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Zamawiający zastrzega sobie prawo do udzielenia łącznie następujących części lub grup części: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Maksymalna liczba części zamówienia, na które może zostać udzielone zamówienie jednemu wykonawcy: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Parametry techniczne budynku: Powierzchnia zabudowy: 787,89 m2 Powierzchnia całkowita: 3 676,36 m2 Powierzchnia użytkowa: 3 144,21 m2 Kubatura: 17 312 m3 Roboty budowlane, elektryczne, instalacyjne Wspólny Słownik Zamówień dla zadania: 45100000-8 Przygotowanie terenu pod budowę; 45110000-1 Roboty w zakresie burzenia i rozbiórki obiektów budowlanych 45223500-1 Konstrukcje z betonu zbrojonego; 45260000-7 Roboty w zakresie wykonywania pokryć i konstrukcji dachowych i inne podobne roboty specjalistyczne; 45261210-9 Wykonywanie pokryć dachowych; 45262100-2 Roboty przy wznoszeniu rusztowań; 45262110-5 Demontaż rusztowań; 45262120-8 Wznoszenie rusztowań; 45262300-4 Betonowanie; 45262400-5 Wnoszenie konstrukcji ze stali konstrukcyjnej; 45262500-6 Roboty murarskie i murowe; 45300000-0 Roboty instalacyjne w budynkach; 45311100-1 Roboty w zakresie okablowania elektrycznego 45311200-2 Roboty w zakresie instalacji elektrycznych 45312100-8 Instalowanie przeciwpożarowych systemów alarmowych 45312310-3 Ochrona odgromowa 45315600-4 Instalacje niskiego napięcia 45317300-5 Elektryczne elektrycznych urządzeń rozdzielczych 45321000-3 Izolacja cieplna 45323000-7 Roboty w zakresie izolacji dźwiękoszczelnych; 45331000-6 Instalowanie urządzeń grzewczych, wentylacyjnych i klimatyzacyjnych; 45331200-8 Instalowanie urządzeń wentylacyjnych i klimatyzacyjnych; 45332400-7 Roboty instalacyjne w zakresie urządzeń sanitarnych 45340000-2 Instalowanie ogrodzeń, płotów i sprzętu ochronnego; 45400000-1 Roboty wykończeniowe w zakresie obiektów budowlanych; 45410000-4 Tynkowanie; 45421000-4 Roboty w zakresie stolarki budowlanej; 45421141-4 Instalowanie przegród; 45421146-9 Instalowanie sufitów podwieszanych; 45421151-7 Instalowanie kuchni na wymiar; 45421153-1 Instalowanie zabudowanych mebli; 45430000-0 Pokrywanie podłóg i ścian; 45442100-8 Roboty malarskie; 45450000-6 Roboty budowlane wykończeniowe, pozostałe; 09323000-9 Węzeł cieplny lokalny 35125300-2 Kamery bezpieczeństwa 32421000-0 Okablowanie sieciowe 32412000-4 Sieci komunikacyjne 32423000-4 Gniazda sieciowe 32424000-1 Infrastruktura sieciowa 39000000-2 Meble (włącznie z biurowymi), wyposażenie, urządzenia domowe (z wyłączeniem oświetlenia) i środki czyszczące; 39121000-6 Biurka i stoły; 39141000-2 Meble i wyposażenie kuchni; 39141100-3 Regały; 39141200-4 Blaty; 39141300-5 Szafy; 39141400-6 Kuchnie do zabudowy; 39150000-8 Różne meble i wyposażenie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II.5) Główny kod CPV: 45214400-4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Dodatkowe kody CPV: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lastRenderedPageBreak/>
        <w:t>II.6) Całkowita wartość zamówienia (jeżeli zamawiający podaje informacje o wartości zamówienia):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Wartość bez VAT: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Waluta: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II.7) Czy przewiduje się udzielenie zamówień, o których mowa w art. 67 ust. 1 pkt 6 i 7 lub w art. 134 ust. 6 pkt 3 ustawy </w:t>
      </w:r>
      <w:proofErr w:type="spellStart"/>
      <w:r w:rsidRPr="00ED43FA">
        <w:rPr>
          <w:sz w:val="20"/>
          <w:szCs w:val="20"/>
        </w:rPr>
        <w:t>Pzp</w:t>
      </w:r>
      <w:proofErr w:type="spellEnd"/>
      <w:r w:rsidRPr="00ED43FA">
        <w:rPr>
          <w:sz w:val="20"/>
          <w:szCs w:val="20"/>
        </w:rPr>
        <w:t>: 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D43FA">
        <w:rPr>
          <w:sz w:val="20"/>
          <w:szCs w:val="20"/>
        </w:rPr>
        <w:t>Pzp</w:t>
      </w:r>
      <w:proofErr w:type="spellEnd"/>
      <w:r w:rsidRPr="00ED43FA">
        <w:rPr>
          <w:sz w:val="20"/>
          <w:szCs w:val="20"/>
        </w:rPr>
        <w:t>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II.8) Okres, w którym realizowane będzie zamówienie lub okres, na który została zawarta umowa ramowa lub okres, na który został ustanowiony dynamiczny system zakupów: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miesiącach:    lub dniach: 260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lub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data rozpoczęcia:   lub zakończenia: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II.9) Informacje dodatkowe: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SEKCJA III: INFORMACJE O CHARAKTERZE PRAWNYM, EKONOMICZNYM, FINANSOWYM I TECHNICZNYM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III.1) WARUNKI UDZIAŁU W POSTĘPOWANIU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III.1.1) Kompetencje lub uprawnienia do prowadzenia określonej działalności zawodowej, o ile wynika to z odrębnych przepisów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Określenie warunków: Zamawiający nie opisuje, nie wyznacza szczegółowego warunku w tym zakresie.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III.1.2) Sytuacja finansowa lub ekonomiczna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Określenie warunków: Zamawiający nie opisuje, nie wyznacza szczegółowego warunku w tym zakresie.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III.1.3) Zdolność techniczna lub zawodowa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Określenie warunków: Zamawiający uzna wyżej wymieniony warunek za spełniony, jeżeli Wykonawca wykaże, że: a) w okresie ostatnich pięciu lat przed dniem upływu składania ofert, a jeżeli okres prowadzenia działalności jest krótszy - w tym okresie, wykonał co najmniej 2 (dwie) realizacje, każda na kwotę: min. 5 000 000,00 zł brutto, każda polegająca na budowie lub przebudowie budynków mieszkalnych lub budynków użyteczności publicznej** lub budynków zamieszkania zbiorowego, każdy budynek o kubaturze nie mniejszej niż 5 000 m3 brutto, z przyłączami i instalacjami wewnętrznymi. *Przez BUDOWĘ należy rozumieć wykonywanie obiektu budowlanego w określonym miejscu, a także odbudowę, rozbudowę, nadbudowę obiektu budowlanego; **Przez BUDYNEK UŻYTECZNOŚCI PUBLICZNEJ - rozumie się budynek przeznaczony na potrzeby administracji publicznej, wymiaru sprawiedliwości, kultury, kultu religijnego, oświaty,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śródlądowym, a także budynek biurowy i socjalny. Warunku posiadania doświadczenia w realizacji budynku użyteczności publicznej nie spełni posiadanie doświadczenia w realizacji hali magazynowej, samodzielnego garażu podziemnego lub naziemnego. W przypadku wykonawców, którzy wykonywali realizacje za wynagrodzeniem wyrażonym w innych walutach niż złoty polski, zamawiający przeliczy wartość tych realizacji po średnim kursie NBP z dnia ukazania się ogłoszenia o zamówieniu. b) dysponuje lub będzie dysponował osobą która będzie pełnić funkcję kierownika budowy, posiadającą uprawnienia do kierowania robotami budowlanymi w specjalności konstrukcyjno-budowlanej bez ograniczeń, która w dniu podpisania umowy będzie członkiem właściwej izby samorządu zawodowego, zgodnie z ustawą Prawo budowlane oraz ustawą o samorządach zawodowych architektów, inżynierów budownictwa oraz urbanistów c) dysponuje lub będzie dysponował osobą, która będzie pełnić funkcję kierownika robót, posiadającą uprawnienia budowlane do kierowania robotami budowlanymi bez ograniczeń, w specjalności instalacyjnej, tzw. elektrycznej, która w dniu podpisania umowy będzie członkiem właściwej izby samorządu zawodowego, zgodnie z ustawą Prawo budowlane oraz ustawą o samorządach zawodowych architektów, inżynierów budownictwa oraz urbanistów d) dysponuje lub będzie dysponował osobą, która będzie pełnić funkcję kierownika robót, posiadającą uprawnienia budowlane do kierowania robotami budowlanymi bez ograniczeń, w specjalności instalacyjnej, tzw. sanitarnej, która w dniu podpisania umowy będzie członkiem właściwej izby samorządu zawodowego, zgodnie z ustawą Prawo budowlane oraz ustawą o samorządach zawodowych architektów, inżynierów budownictwa oraz urbanistów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</w:t>
      </w:r>
      <w:r w:rsidRPr="00ED43FA">
        <w:rPr>
          <w:sz w:val="20"/>
          <w:szCs w:val="20"/>
        </w:rPr>
        <w:lastRenderedPageBreak/>
        <w:t>nabytych w państwach członkowskich Unii Europejskiej (Dz. U z 2016 r., poz. 65).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III.2) PODSTAWY WYKLUCZENIA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III.2.1) Podstawy wykluczenia określone w art. 24 ust. 1 ustawy </w:t>
      </w:r>
      <w:proofErr w:type="spellStart"/>
      <w:r w:rsidRPr="00ED43FA">
        <w:rPr>
          <w:sz w:val="20"/>
          <w:szCs w:val="20"/>
        </w:rPr>
        <w:t>Pzp</w:t>
      </w:r>
      <w:proofErr w:type="spellEnd"/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III.2.2) Zamawiający przewiduje wykluczenie wykonawcy na podstawie art. 24 ust. 5 ustawy </w:t>
      </w:r>
      <w:proofErr w:type="spellStart"/>
      <w:r w:rsidRPr="00ED43FA">
        <w:rPr>
          <w:sz w:val="20"/>
          <w:szCs w:val="20"/>
        </w:rPr>
        <w:t>Pzp</w:t>
      </w:r>
      <w:proofErr w:type="spellEnd"/>
      <w:r w:rsidRPr="00ED43FA">
        <w:rPr>
          <w:sz w:val="20"/>
          <w:szCs w:val="20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ED43FA">
        <w:rPr>
          <w:sz w:val="20"/>
          <w:szCs w:val="20"/>
        </w:rPr>
        <w:t>Pzp</w:t>
      </w:r>
      <w:proofErr w:type="spellEnd"/>
      <w:r w:rsidRPr="00ED43FA">
        <w:rPr>
          <w:sz w:val="20"/>
          <w:szCs w:val="20"/>
        </w:rPr>
        <w:t>)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Tak (podstawa wykluczenia określona w art. 24 ust. 5 pkt 8 ustawy </w:t>
      </w:r>
      <w:proofErr w:type="spellStart"/>
      <w:r w:rsidRPr="00ED43FA">
        <w:rPr>
          <w:sz w:val="20"/>
          <w:szCs w:val="20"/>
        </w:rPr>
        <w:t>Pzp</w:t>
      </w:r>
      <w:proofErr w:type="spellEnd"/>
      <w:r w:rsidRPr="00ED43FA">
        <w:rPr>
          <w:sz w:val="20"/>
          <w:szCs w:val="20"/>
        </w:rPr>
        <w:t>)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Oświadczenie o niepodleganiu wykluczeniu oraz spełnianiu warunków udziału w postępowaniu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Tak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Oświadczenie o spełnianiu kryteriów selekcji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III.5.1) W ZAKRESIE SPEŁNIANIA WARUNKÓW UDZIAŁU W POSTĘPOWANIU: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III.5.2) W ZAKRESIE KRYTERIÓW SELEKCJI: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III.7) INNE DOKUMENTY NIE WYMIENIONE W pkt III.3) - III.6)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ED43FA">
        <w:rPr>
          <w:sz w:val="20"/>
          <w:szCs w:val="20"/>
        </w:rPr>
        <w:t>Pzp</w:t>
      </w:r>
      <w:proofErr w:type="spellEnd"/>
      <w:r w:rsidRPr="00ED43FA">
        <w:rPr>
          <w:sz w:val="20"/>
          <w:szCs w:val="20"/>
        </w:rPr>
        <w:t xml:space="preserve">, Wykonawca jest zobowiązany przekazać Zamawiającemu oświadczenie o przynależności lub braku przynależności do tej samej grupy </w:t>
      </w:r>
      <w:r w:rsidRPr="00ED43FA">
        <w:rPr>
          <w:sz w:val="20"/>
          <w:szCs w:val="20"/>
        </w:rPr>
        <w:lastRenderedPageBreak/>
        <w:t xml:space="preserve">kapitałowej, o której mowa w art. 24 ust. 1 pkt 23 ustawy </w:t>
      </w:r>
      <w:proofErr w:type="spellStart"/>
      <w:r w:rsidRPr="00ED43FA">
        <w:rPr>
          <w:sz w:val="20"/>
          <w:szCs w:val="20"/>
        </w:rPr>
        <w:t>Pzp</w:t>
      </w:r>
      <w:proofErr w:type="spellEnd"/>
      <w:r w:rsidRPr="00ED43FA">
        <w:rPr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SEKCJA IV: PROCEDURA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IV.1) OPIS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IV.1.1) Tryb udzielenia zamówienia: Przetarg nieograniczony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IV.1.2) Zamawiający żąda wniesienia wadium: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Tak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Informacja na temat wadium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1. Oferta musi być zabezpieczona wadium w wysokości: 200 000,00 PLN (słownie: dwieście tysięcy złotych,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IV.1.3) Przewiduje się udzielenie zaliczek na poczet wykonania zamówienia: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Należy podać informacje na temat udzielania zaliczek: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Dopuszcza się złożenie ofert w postaci katalogów elektronicznych lub dołączenia do ofert katalogów elektronicznych: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IV.1.5.) Wymaga się złożenia oferty wariantowej: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Dopuszcza się złożenie oferty wariantowej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Złożenie oferty wariantowej dopuszcza się tylko z jednoczesnym złożeniem oferty zasadniczej: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IV.1.6) Przewidywana liczba wykonawców, którzy zostaną zaproszeni do udziału w postępowaniu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(przetarg ograniczony, negocjacje z ogłoszeniem, dialog konkurencyjny, partnerstwo innowacyjne)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Liczba wykonawców  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Przewidywana minimalna liczba wykonawców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Maksymalna liczba wykonawców  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Kryteria selekcji wykonawców: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IV.1.7) Informacje na temat umowy ramowej lub dynamicznego systemu zakupów: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Umowa ramowa będzie zawarta: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Czy przewiduje się ograniczenie liczby uczestników umowy ramowej: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Przewidziana maksymalna liczba uczestników umowy ramowej: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Zamówienie obejmuje ustanowienie dynamicznego systemu zakupów: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Adres strony internetowej, na której będą zamieszczone dodatkowe informacje dotyczące dynamicznego systemu zakupów: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 ramach umowy ramowej/dynamicznego systemu zakupów dopuszcza się złożenie ofert w formie katalogów elektronicznych: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Przewiduje się pobranie ze złożonych katalogów elektronicznych informacji potrzebnych do sporządzenia ofert w ramach umowy ramowej/dynamicznego systemu zakupów: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IV.1.8) Aukcja elektroniczna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Przewidziane jest przeprowadzenie aukcji elektronicznej (przetarg nieograniczony, przetarg ograniczony, negocjacje z ogłoszeniem) 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Należy podać adres strony internetowej, na której aukcja będzie prowadzona: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Należy wskazać elementy, których wartości będą przedmiotem aukcji elektronicznej: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Przewiduje się ograniczenia co do przedstawionych wartości, wynikające z opisu przedmiotu zamówienia: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Należy podać, które informacje zostaną udostępnione wykonawcom w trakcie aukcji elektronicznej oraz jaki będzie termin ich udostępnienia: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dotyczące przebiegu aukcji elektronicznej: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Jaki jest przewidziany sposób postępowania w toku aukcji elektronicznej i jakie będą warunki, na jakich wykonawcy będą mogli licytować (minimalne wysokości postąpień):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dotyczące wykorzystywanego sprzętu elektronicznego, rozwiązań i specyfikacji technicznych w zakresie połączeń: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Wymagania dotyczące rejestracji i identyfikacji wykonawców w aukcji elektronicznej: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o liczbie etapów aukcji elektronicznej i czasie ich trwania: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Czas trwania: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Czy wykonawcy, którzy nie złożyli nowych postąpień, zostaną zakwalifikowani do następnego etapu: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Warunki zamknięcia aukcji elektronicznej: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IV.2) KRYTERIA OCENY OFERT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IV.2.1) Kryteria oceny ofert: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IV.2.2) Kryteria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Kryteria</w:t>
      </w:r>
      <w:r w:rsidRPr="00ED43FA">
        <w:rPr>
          <w:sz w:val="20"/>
          <w:szCs w:val="20"/>
        </w:rPr>
        <w:tab/>
        <w:t>Znaczenie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Cena</w:t>
      </w:r>
      <w:r w:rsidRPr="00ED43FA">
        <w:rPr>
          <w:sz w:val="20"/>
          <w:szCs w:val="20"/>
        </w:rPr>
        <w:tab/>
        <w:t>60,00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Okres gwarancji</w:t>
      </w:r>
      <w:r w:rsidRPr="00ED43FA">
        <w:rPr>
          <w:sz w:val="20"/>
          <w:szCs w:val="20"/>
        </w:rPr>
        <w:tab/>
        <w:t>40,00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IV.2.3) Zastosowanie procedury, o której mowa w art. 24aa ust. 1 ustawy </w:t>
      </w:r>
      <w:proofErr w:type="spellStart"/>
      <w:r w:rsidRPr="00ED43FA">
        <w:rPr>
          <w:sz w:val="20"/>
          <w:szCs w:val="20"/>
        </w:rPr>
        <w:t>Pzp</w:t>
      </w:r>
      <w:proofErr w:type="spellEnd"/>
      <w:r w:rsidRPr="00ED43FA">
        <w:rPr>
          <w:sz w:val="20"/>
          <w:szCs w:val="20"/>
        </w:rPr>
        <w:t xml:space="preserve"> (przetarg nieograniczony)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Tak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IV.3) Negocjacje z ogłoszeniem, dialog konkurencyjny, partnerstwo innowacyjne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IV.3.1) Informacje na temat negocjacji z ogłoszeniem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Minimalne wymagania, które muszą spełniać wszystkie oferty: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Przewidziane jest zastrzeżenie prawa do udzielenia zamówienia na podstawie ofert wstępnych bez przeprowadzenia negocjacji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Przewidziany jest podział negocjacji na etapy w celu ograniczenia liczby ofert: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Należy podać informacje na temat etapów negocjacji (w tym liczbę etapów):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</w:t>
      </w:r>
    </w:p>
    <w:p w:rsidR="00ED43FA" w:rsidRPr="00ED43FA" w:rsidRDefault="00ED43FA" w:rsidP="00ED43FA">
      <w:pPr>
        <w:rPr>
          <w:sz w:val="20"/>
          <w:szCs w:val="20"/>
        </w:rPr>
      </w:pPr>
      <w:bookmarkStart w:id="0" w:name="_GoBack"/>
      <w:bookmarkEnd w:id="0"/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IV.3.2) Informacje na temat dialogu konkurencyjnego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Opis potrzeb i wymagań zamawiającego lub informacja o sposobie uzyskania tego opisu: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Wstępny harmonogram postępowania: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Podział dialogu na etapy w celu ograniczenia liczby rozwiązań: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Należy podać informacje na temat etapów dialogu: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IV.3.3) Informacje na temat partnerstwa innowacyjnego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Elementy opisu przedmiotu zamówienia definiujące minimalne wymagania, którym muszą odpowiadać wszystkie oferty: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Podział negocjacji na etapy w celu ograniczeniu liczby ofert podlegających negocjacjom poprzez zastosowanie kryteriów oceny ofert wskazanych w specyfikacji istotnych warunków zamówienia: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IV.4) Licytacja elektroniczna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Adres strony internetowej, na której będzie prowadzona licytacja elektroniczna: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Adres strony internetowej, na której jest dostępny opis przedmiotu zamówienia w licytacji elektronicznej: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Wymagania dotyczące rejestracji i identyfikacji wykonawców w licytacji elektronicznej, w tym wymagania techniczne urządzeń informatycznych: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Sposób postępowania w toku licytacji elektronicznej, w tym określenie minimalnych wysokości postąpień: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o liczbie etapów licytacji elektronicznej i czasie ich trwania: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Czas trwania: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Wykonawcy, którzy nie złożyli nowych postąpień, zostaną zakwalifikowani do następnego etapu: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Termin składania wniosków o dopuszczenie do udziału w licytacji elektronicznej: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Data: godzina: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Termin otwarcia licytacji elektronicznej: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Termin i warunki zamknięcia licytacji elektronicznej: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Istotne dla stron postanowienia, które zostaną wprowadzone do treści zawieranej umowy w sprawie zamówienia publicznego, albo ogólne warunki umowy, albo wzór umowy: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Wymagania dotyczące zabezpieczenia należytego wykonania umowy: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Informacje dodatkowe: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IV.5) ZMIANA UMOWY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Przewiduje się istotne zmiany postanowień zawartej umowy w stosunku do treści oferty, na podstawie której dokonano wyboru wykonawcy: Tak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Należy wskazać zakres, charakter zmian oraz warunki wprowadzenia zmian: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§17 1. Wszelkie zmiany Umowy wymagają zgody obu Stron i zachowania formy pisemnej pod rygorem nieważności. 2. Zmiany Umowy, o których mowa w ust. 1 muszą być dokonywane z zachowaniem przepisu art. 140 ust. 3 ustawy Prawo zamówień publicznych 3. Dopuszcza się możliwość zmiany ustaleń niniejszej Umowy w stosunku do treści oferty Wykonawcy w następującym zakresie: 1) wysokości wynagrodzenia: a) w przypadku wystąpienia którejkolwiek ze zmian przepisów wskazanych w art. 142 ust. 5 ustawy z dnia 29 stycznia 2004 r. Prawo Zamówień Publicznych, jeżeli Umowa została zawarta na okres dłuższy niż 12 miesięcy, tj. zmiany: ? zmiany stawki podatku VAT, w odniesieniu do tej części wynagrodzenia, której zmiana dotyczy, ? wysokości minimalnego wynagrodzenia za pracę albo wysokości minimalnej stawki godzinowej ustalonych na podstawie przepisów ustawy z dnia 10 października 2002 r. o minimalnym wynagrodzeniu za pracę, ? zasad podlegania ubezpieczeniom społecznym lub ubezpieczeniu zdrowotnemu lub wysokości stawki składki na ubezpieczenia społeczne lub zdrowotne, ? zmiany zasad gromadzenia i wysokości wpłat do pracowniczych planów kapitałowych, o których mowa w ustawie z dnia 4 października 2018r. o pracowniczych planach kapitałowych. b) ograniczenia zakresu prac objętych niniejszą Umową w razie stwierdzenia braku konieczności wykonywania części zamówienia, ujętych w dokumentacji i SIWZ; c) zmiany zakresu prac objętych niniejszą Umową w wyniku zmian opisanych w pkt 2) </w:t>
      </w:r>
      <w:proofErr w:type="spellStart"/>
      <w:r w:rsidRPr="00ED43FA">
        <w:rPr>
          <w:sz w:val="20"/>
          <w:szCs w:val="20"/>
        </w:rPr>
        <w:t>ppkt</w:t>
      </w:r>
      <w:proofErr w:type="spellEnd"/>
      <w:r w:rsidRPr="00ED43FA">
        <w:rPr>
          <w:sz w:val="20"/>
          <w:szCs w:val="20"/>
        </w:rPr>
        <w:t xml:space="preserve"> b)-d) oraz w 4)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zmian w Harmonogramie;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</w:t>
      </w:r>
      <w:r w:rsidRPr="00ED43FA">
        <w:rPr>
          <w:sz w:val="20"/>
          <w:szCs w:val="20"/>
        </w:rPr>
        <w:lastRenderedPageBreak/>
        <w:t xml:space="preserve">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§6 niniejszej Umowy.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4) Dopuszcza się również możliwość zmiany Umowy zgodnie z ustawą Prawo zamówień publicznych. 5) Zmiany przewidziane w Umowie mogą być inicjowane przez Zamawiającego oraz przez Wykonawcę. 6)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 oraz Harmonogram. Wniosek o wprowadzenie zmian w umowie Wykonawca składa (wg. wzoru udostępnionego przez Zamawiającego pod adresem http://di.adm.agh.edu.pl/public/dla-wykonawcy/Wniosek_o_wprowadzenie_zmian_w_umowie.docx w Sekretariacie Miasteczka Studenckiego AGH (ul. Rostafińskiego 7a), 7) Podstawę obliczenia kosztów zmiany mającej wpływ na wynagrodzenie Wykonawcy stanowić będzie zatwierdzony przez Zamawiającego: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8) W przypadku wystąpienia którejkolwiek z okoliczności wymienionych w ust. 3 pkt. 2) termin zakończenia robót może ulec odpowiedniemu przedłużeniu, nie dłużej jednak niż o okres trwania tych okoliczności. 9) Zmiana wysokości wynagrodzenia należnego Wykonawcy w przypadku zaistnienia przesłanki, o której mowa w ust. 3 pkt 1) lit. a) </w:t>
      </w:r>
      <w:proofErr w:type="spellStart"/>
      <w:r w:rsidRPr="00ED43FA">
        <w:rPr>
          <w:sz w:val="20"/>
          <w:szCs w:val="20"/>
        </w:rPr>
        <w:t>tiret</w:t>
      </w:r>
      <w:proofErr w:type="spellEnd"/>
      <w:r w:rsidRPr="00ED43FA">
        <w:rPr>
          <w:sz w:val="20"/>
          <w:szCs w:val="20"/>
        </w:rPr>
        <w:t xml:space="preserve"> pierwszy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10) W przypadku zmiany, o której mowa w ust. 3 pkt 1) lit. a) </w:t>
      </w:r>
      <w:proofErr w:type="spellStart"/>
      <w:r w:rsidRPr="00ED43FA">
        <w:rPr>
          <w:sz w:val="20"/>
          <w:szCs w:val="20"/>
        </w:rPr>
        <w:t>tiret</w:t>
      </w:r>
      <w:proofErr w:type="spellEnd"/>
      <w:r w:rsidRPr="00ED43FA">
        <w:rPr>
          <w:sz w:val="20"/>
          <w:szCs w:val="20"/>
        </w:rPr>
        <w:t xml:space="preserve"> pierwszy wartość wynagrodzenia netto nie zmieni się, a wartość wynagrodzenia brutto zostanie wyliczona na podstawie nowych przepisów. 11) Zmiana wysokości wynagrodzenia w przypadku zaistnienia przesłanki, o której mowa w ust. 3 pkt 1) lit. a) </w:t>
      </w:r>
      <w:proofErr w:type="spellStart"/>
      <w:r w:rsidRPr="00ED43FA">
        <w:rPr>
          <w:sz w:val="20"/>
          <w:szCs w:val="20"/>
        </w:rPr>
        <w:t>tiret</w:t>
      </w:r>
      <w:proofErr w:type="spellEnd"/>
      <w:r w:rsidRPr="00ED43FA">
        <w:rPr>
          <w:sz w:val="20"/>
          <w:szCs w:val="20"/>
        </w:rPr>
        <w:t xml:space="preserve"> drugi-czwarty,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12) W przypadku zmiany, o której mowa w ust. 3 pkt 1) lit. a) </w:t>
      </w:r>
      <w:proofErr w:type="spellStart"/>
      <w:r w:rsidRPr="00ED43FA">
        <w:rPr>
          <w:sz w:val="20"/>
          <w:szCs w:val="20"/>
        </w:rPr>
        <w:t>tiret</w:t>
      </w:r>
      <w:proofErr w:type="spellEnd"/>
      <w:r w:rsidRPr="00ED43FA">
        <w:rPr>
          <w:sz w:val="20"/>
          <w:szCs w:val="20"/>
        </w:rPr>
        <w:t xml:space="preserve"> drugi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13) W przypadku zmiany, o której mowa w ust. 3 pkt 1) lit. a) </w:t>
      </w:r>
      <w:proofErr w:type="spellStart"/>
      <w:r w:rsidRPr="00ED43FA">
        <w:rPr>
          <w:sz w:val="20"/>
          <w:szCs w:val="20"/>
        </w:rPr>
        <w:t>tiret</w:t>
      </w:r>
      <w:proofErr w:type="spellEnd"/>
      <w:r w:rsidRPr="00ED43FA">
        <w:rPr>
          <w:sz w:val="20"/>
          <w:szCs w:val="20"/>
        </w:rPr>
        <w:t xml:space="preserve"> trzeci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14)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15) W przypadku zmian, o których mowa w ust. 3 pkt 1) lit. a) </w:t>
      </w:r>
      <w:proofErr w:type="spellStart"/>
      <w:r w:rsidRPr="00ED43FA">
        <w:rPr>
          <w:sz w:val="20"/>
          <w:szCs w:val="20"/>
        </w:rPr>
        <w:t>tiret</w:t>
      </w:r>
      <w:proofErr w:type="spellEnd"/>
      <w:r w:rsidRPr="00ED43FA">
        <w:rPr>
          <w:sz w:val="20"/>
          <w:szCs w:val="20"/>
        </w:rPr>
        <w:t xml:space="preserve"> drugi lub </w:t>
      </w:r>
      <w:proofErr w:type="spellStart"/>
      <w:r w:rsidRPr="00ED43FA">
        <w:rPr>
          <w:sz w:val="20"/>
          <w:szCs w:val="20"/>
        </w:rPr>
        <w:t>tiret</w:t>
      </w:r>
      <w:proofErr w:type="spellEnd"/>
      <w:r w:rsidRPr="00ED43FA">
        <w:rPr>
          <w:sz w:val="20"/>
          <w:szCs w:val="20"/>
        </w:rPr>
        <w:t xml:space="preserve"> trzeci,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ED43FA">
        <w:rPr>
          <w:sz w:val="20"/>
          <w:szCs w:val="20"/>
        </w:rPr>
        <w:t>tiret</w:t>
      </w:r>
      <w:proofErr w:type="spellEnd"/>
      <w:r w:rsidRPr="00ED43FA">
        <w:rPr>
          <w:sz w:val="20"/>
          <w:szCs w:val="20"/>
        </w:rPr>
        <w:t xml:space="preserve"> drugi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ED43FA">
        <w:rPr>
          <w:sz w:val="20"/>
          <w:szCs w:val="20"/>
        </w:rPr>
        <w:t>tiret</w:t>
      </w:r>
      <w:proofErr w:type="spellEnd"/>
      <w:r w:rsidRPr="00ED43FA">
        <w:rPr>
          <w:sz w:val="20"/>
          <w:szCs w:val="20"/>
        </w:rPr>
        <w:t xml:space="preserve"> trzeci. 16) W przypadku zmiany, o której mowa w ust. 3 pkt 1) lit. a) </w:t>
      </w:r>
      <w:proofErr w:type="spellStart"/>
      <w:r w:rsidRPr="00ED43FA">
        <w:rPr>
          <w:sz w:val="20"/>
          <w:szCs w:val="20"/>
        </w:rPr>
        <w:t>tiret</w:t>
      </w:r>
      <w:proofErr w:type="spellEnd"/>
      <w:r w:rsidRPr="00ED43FA">
        <w:rPr>
          <w:sz w:val="20"/>
          <w:szCs w:val="20"/>
        </w:rPr>
        <w:t xml:space="preserve"> trzeci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15 pkt 2. 17) W terminie 10 dni </w:t>
      </w:r>
      <w:r w:rsidRPr="00ED43FA">
        <w:rPr>
          <w:sz w:val="20"/>
          <w:szCs w:val="20"/>
        </w:rPr>
        <w:lastRenderedPageBreak/>
        <w:t>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18) W przypadku otrzymania przez Stronę informacji o niezatwierdzeniu wniosku lub częściowym zatwierdzeniu wniosku, Strona ta może ponownie wystąpić z wnioskiem, o którym mowa w ust. 14. W takim przypadku przepisy ust. 15 - 17 oraz 19 stosuje się odpowiednio. 19) Zawarcie pisemnego aneksu do umowy nastąpi nie później niż w terminie 10 dni roboczych od dnia zatwierdzenia wniosku o dokonanie zmiany wysokości wynagrodzenia należnego Wykonawcy.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IV.6) INFORMACJE ADMINISTRACYJNE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IV.6.1) Sposób udostępniania informacji o charakterze poufnym (jeżeli dotyczy):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Środki służące ochronie informacji o charakterze poufnym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IV.6.2) Termin składania ofert lub wniosków o dopuszczenie do udziału w postępowaniu: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Data: 2020-10-29, godzina: 08:30,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Skrócenie terminu składania wniosków, ze względu na pilną potrzebę udzielenia zamówienia (przetarg nieograniczony, przetarg ograniczony, negocjacje z ogłoszeniem):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Wskazać powody: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Język lub języki, w jakich mogą być sporządzane oferty lub wnioski o dopuszczenie do udziału w postępowaniu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&gt; polski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IV.6.3) Termin związania ofertą: do: okres w dniach: 30 (od ostatecznego terminu składania ofert)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IV.6.4) Przewiduje się unieważnienie postępowania o udzielenie zamówienia, w przypadku nieprzyznania środków, które miały być przeznaczone na sfinansowanie całości lub części zamówienia: Nie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IV.6.5) Informacje dodatkowe: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 xml:space="preserve">10. Wybrany w drodze postępowania przetargowego Wykonawca winien przed podpisaniem umowy przedłożyć Zamawiającemu: • uprawnienia wymienione w pkt V.1.3) niniejszej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- • Kosztorys w którym zaleca się wycenę co najmniej elementów robót z podaniem ich ilości, cen jednostkowych i wartości wraz z opisem technologii wykonania robót. Kosztorys będzie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umowy, w podziale na części: - Część I – remontowa - Część II – inwestycyjna - Część III – wyposażenie meblowe • oświadczenie Wykonawcy o zatrudnieniu na umowę o pracę (w rozumieniu art. 22 § 1 Kodeksu pracy) osób które będą wykonywały czynności dla których w pkt. III niniejszej specyfikacji został określony taki wymóg. • kserokopia aktualnych świadectw kwalifikacyjnych osób, które będą wykonywać przedmiot zamówienia - zgodnie z wymogiem określonym w pkt III niniejszej specyfikacji • Harmonogram rzeczowo-finansowy realizacji robót w przypadku powierzenia części prac podwykonawcy należy określić również zakres oraz wartość robót przez niego wykonywanych (do weryfikacji przez Zamawiającego) z podziałem na część I, II i III. • Wykonawca zobowiązany będzie do sporządzenia przed podpisaniem umowy dodatkowego harmonogramu rzeczowo-finansowego prac (związanych z dostosowaniem obiektu dla osób z niepełnosprawnościami - </w:t>
      </w:r>
      <w:proofErr w:type="spellStart"/>
      <w:r w:rsidRPr="00ED43FA">
        <w:rPr>
          <w:sz w:val="20"/>
          <w:szCs w:val="20"/>
        </w:rPr>
        <w:t>Wc</w:t>
      </w:r>
      <w:proofErr w:type="spellEnd"/>
      <w:r w:rsidRPr="00ED43FA">
        <w:rPr>
          <w:sz w:val="20"/>
          <w:szCs w:val="20"/>
        </w:rPr>
        <w:t xml:space="preserve"> dla ON - objętych programem „Akademia Dostępności — Wzmocnienie potencjału AGH w zakresie wsparcia osób z niepełnosprawnościami nr POWR.03.05.00-00-A076/19 — rejon Miasteczka Studenckiego") Zakres prac ujęto w załączniku do SIWZ. W trakcie realizacji umowy Wykonawca zobowiązany będzie do comiesięcznej aktualizacji harmonogramu „POWR.03.05.00-00-A076/19” oraz do fotograficznego dokumentowania postępu prac objętych tym programem. - Ubezpieczenie pkt. 15.10 SIWZ</w:t>
      </w:r>
    </w:p>
    <w:p w:rsidR="00ED43FA" w:rsidRPr="00ED43FA" w:rsidRDefault="00ED43FA" w:rsidP="00ED43FA">
      <w:pPr>
        <w:rPr>
          <w:sz w:val="20"/>
          <w:szCs w:val="20"/>
        </w:rPr>
      </w:pPr>
      <w:r w:rsidRPr="00ED43FA">
        <w:rPr>
          <w:sz w:val="20"/>
          <w:szCs w:val="20"/>
        </w:rPr>
        <w:t>ZAŁĄCZNIK I - INFORMACJE DOTYCZĄCE OFERT CZĘŚCIOWYCH</w:t>
      </w: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</w:p>
    <w:p w:rsidR="00ED43FA" w:rsidRPr="00ED43FA" w:rsidRDefault="00ED43FA" w:rsidP="00ED43FA">
      <w:pPr>
        <w:rPr>
          <w:sz w:val="20"/>
          <w:szCs w:val="20"/>
        </w:rPr>
      </w:pPr>
    </w:p>
    <w:p w:rsidR="001F2F5B" w:rsidRPr="00ED43FA" w:rsidRDefault="001F2F5B" w:rsidP="00ED43FA">
      <w:pPr>
        <w:rPr>
          <w:sz w:val="20"/>
          <w:szCs w:val="20"/>
        </w:rPr>
      </w:pPr>
    </w:p>
    <w:sectPr w:rsidR="001F2F5B" w:rsidRPr="00ED43FA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276" w:rsidRDefault="00175276">
      <w:r>
        <w:separator/>
      </w:r>
    </w:p>
  </w:endnote>
  <w:endnote w:type="continuationSeparator" w:id="0">
    <w:p w:rsidR="00175276" w:rsidRDefault="00175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43F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43FA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B36" w:rsidRDefault="00191B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276" w:rsidRDefault="00175276">
      <w:r>
        <w:separator/>
      </w:r>
    </w:p>
  </w:footnote>
  <w:footnote w:type="continuationSeparator" w:id="0">
    <w:p w:rsidR="00175276" w:rsidRDefault="00175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B36" w:rsidRDefault="00191B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B36" w:rsidRDefault="00191B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5276"/>
    <w:rsid w:val="000C4A85"/>
    <w:rsid w:val="001306AD"/>
    <w:rsid w:val="00161679"/>
    <w:rsid w:val="00175276"/>
    <w:rsid w:val="00180468"/>
    <w:rsid w:val="00191B36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ED43FA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5369</Words>
  <Characters>36459</Characters>
  <Application>Microsoft Office Word</Application>
  <DocSecurity>0</DocSecurity>
  <Lines>303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41745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2020-10-13T11:41:00Z</cp:lastPrinted>
  <dcterms:created xsi:type="dcterms:W3CDTF">2020-10-13T11:41:00Z</dcterms:created>
  <dcterms:modified xsi:type="dcterms:W3CDTF">2020-10-13T11:41:00Z</dcterms:modified>
</cp:coreProperties>
</file>