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DF2862" w:rsidRPr="00DF2862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DF2862" w:rsidRPr="00DF2862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DF2862" w:rsidRPr="00DF2862">
        <w:rPr>
          <w:rFonts w:ascii="Verdana" w:hAnsi="Verdana"/>
          <w:sz w:val="16"/>
          <w:szCs w:val="16"/>
        </w:rPr>
        <w:t>2020-08-21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5675B4">
        <w:rPr>
          <w:rFonts w:ascii="Verdana" w:hAnsi="Verdana"/>
          <w:sz w:val="20"/>
        </w:rPr>
        <w:t xml:space="preserve"> (5</w:t>
      </w:r>
      <w:r w:rsidR="00196AE3">
        <w:rPr>
          <w:rFonts w:ascii="Verdana" w:hAnsi="Verdana"/>
          <w:sz w:val="20"/>
        </w:rPr>
        <w:t>3</w:t>
      </w:r>
      <w:bookmarkStart w:id="0" w:name="_GoBack"/>
      <w:bookmarkEnd w:id="0"/>
      <w:r w:rsidR="005675B4">
        <w:rPr>
          <w:rFonts w:ascii="Verdana" w:hAnsi="Verdana"/>
          <w:sz w:val="20"/>
        </w:rPr>
        <w:t>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DF2862" w:rsidRPr="00DF2862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5675B4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DF2862" w:rsidRPr="00DF2862">
        <w:rPr>
          <w:rFonts w:ascii="Verdana" w:hAnsi="Verdana"/>
          <w:b/>
          <w:sz w:val="20"/>
        </w:rPr>
        <w:t xml:space="preserve">Budowa wielofunkcyjnej Hali Sportowej AGH w Krakowie. </w:t>
      </w:r>
      <w:r w:rsidR="005675B4">
        <w:rPr>
          <w:rFonts w:ascii="Verdana" w:hAnsi="Verdana"/>
          <w:b/>
          <w:sz w:val="20"/>
        </w:rPr>
        <w:br/>
      </w:r>
      <w:r w:rsidR="00DF2862" w:rsidRPr="00DF2862">
        <w:rPr>
          <w:rFonts w:ascii="Verdana" w:hAnsi="Verdana"/>
          <w:b/>
          <w:sz w:val="20"/>
        </w:rPr>
        <w:t>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5675B4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5675B4" w:rsidRPr="005675B4" w:rsidRDefault="005675B4" w:rsidP="005675B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Verdana" w:hAnsi="Verdana"/>
          <w:sz w:val="18"/>
          <w:szCs w:val="18"/>
        </w:rPr>
      </w:pPr>
      <w:r w:rsidRPr="005675B4">
        <w:rPr>
          <w:rFonts w:ascii="Verdana" w:hAnsi="Verdana"/>
          <w:sz w:val="18"/>
          <w:szCs w:val="18"/>
        </w:rPr>
        <w:t>W związku z rozbieżnościami w opisie technicznym instalacji niskoprądowych, prosimy o jednoznacznej określenie ilości, sposobu zabudowy (Tower/</w:t>
      </w:r>
      <w:proofErr w:type="spellStart"/>
      <w:r w:rsidRPr="005675B4">
        <w:rPr>
          <w:rFonts w:ascii="Verdana" w:hAnsi="Verdana"/>
          <w:sz w:val="18"/>
          <w:szCs w:val="18"/>
        </w:rPr>
        <w:t>Rack</w:t>
      </w:r>
      <w:proofErr w:type="spellEnd"/>
      <w:r w:rsidRPr="005675B4">
        <w:rPr>
          <w:rFonts w:ascii="Verdana" w:hAnsi="Verdana"/>
          <w:sz w:val="18"/>
          <w:szCs w:val="18"/>
        </w:rPr>
        <w:t>), mocy oraz wymaganego czasu podtrzymania dla zasilaczy UPS wymaganych na potrzeby instalacji niskoprądowych, w tym LAN, CCTV, panelu centrali telefonicznej.</w:t>
      </w:r>
    </w:p>
    <w:p w:rsidR="005675B4" w:rsidRPr="005675B4" w:rsidRDefault="005675B4" w:rsidP="005675B4">
      <w:pPr>
        <w:pStyle w:val="Akapitzlist"/>
        <w:spacing w:after="0" w:line="276" w:lineRule="auto"/>
        <w:ind w:left="360"/>
        <w:jc w:val="both"/>
        <w:rPr>
          <w:rFonts w:ascii="Verdana" w:hAnsi="Verdana"/>
          <w:b/>
          <w:sz w:val="18"/>
          <w:szCs w:val="18"/>
        </w:rPr>
      </w:pPr>
      <w:r w:rsidRPr="005675B4">
        <w:rPr>
          <w:rFonts w:ascii="Verdana" w:hAnsi="Verdana"/>
          <w:b/>
          <w:sz w:val="18"/>
          <w:szCs w:val="18"/>
        </w:rPr>
        <w:t>Odp.</w:t>
      </w:r>
      <w:r w:rsidRPr="005675B4">
        <w:rPr>
          <w:rFonts w:ascii="Verdana" w:hAnsi="Verdana"/>
          <w:b/>
          <w:color w:val="222222"/>
          <w:sz w:val="18"/>
          <w:szCs w:val="18"/>
        </w:rPr>
        <w:t xml:space="preserve">: </w:t>
      </w:r>
      <w:r w:rsidRPr="005675B4">
        <w:rPr>
          <w:rFonts w:ascii="Verdana" w:hAnsi="Verdana"/>
          <w:b/>
          <w:bCs/>
          <w:color w:val="222222"/>
          <w:sz w:val="18"/>
          <w:szCs w:val="18"/>
        </w:rPr>
        <w:t>Zgodnie z projektem:</w:t>
      </w:r>
    </w:p>
    <w:p w:rsidR="005675B4" w:rsidRPr="005675B4" w:rsidRDefault="005675B4" w:rsidP="005675B4">
      <w:pPr>
        <w:pStyle w:val="Tekstpodstawowy"/>
        <w:spacing w:line="276" w:lineRule="auto"/>
        <w:ind w:left="709"/>
        <w:rPr>
          <w:rFonts w:ascii="Verdana" w:hAnsi="Verdana"/>
          <w:b/>
          <w:bCs/>
          <w:color w:val="222222"/>
          <w:sz w:val="18"/>
          <w:szCs w:val="18"/>
        </w:rPr>
      </w:pPr>
      <w:r w:rsidRPr="005675B4">
        <w:rPr>
          <w:rFonts w:ascii="Verdana" w:hAnsi="Verdana"/>
          <w:b/>
          <w:bCs/>
          <w:color w:val="222222"/>
          <w:sz w:val="18"/>
          <w:szCs w:val="18"/>
        </w:rPr>
        <w:t>Dla VSS:</w:t>
      </w:r>
    </w:p>
    <w:p w:rsidR="005675B4" w:rsidRPr="005675B4" w:rsidRDefault="005675B4" w:rsidP="005675B4">
      <w:pPr>
        <w:pStyle w:val="Tekstpodstawowy"/>
        <w:spacing w:line="276" w:lineRule="auto"/>
        <w:ind w:left="709"/>
        <w:rPr>
          <w:rFonts w:ascii="Verdana" w:hAnsi="Verdana"/>
          <w:b/>
          <w:bCs/>
          <w:color w:val="222222"/>
          <w:sz w:val="18"/>
          <w:szCs w:val="18"/>
        </w:rPr>
      </w:pPr>
      <w:r w:rsidRPr="005675B4">
        <w:rPr>
          <w:rFonts w:ascii="Verdana" w:hAnsi="Verdana"/>
          <w:b/>
          <w:bCs/>
          <w:color w:val="222222"/>
          <w:sz w:val="18"/>
          <w:szCs w:val="18"/>
        </w:rPr>
        <w:t xml:space="preserve">Dla zasilania, komunikacji i rejestracji kamer założono, że przełącznik sieciowy </w:t>
      </w:r>
      <w:proofErr w:type="spellStart"/>
      <w:r w:rsidRPr="005675B4">
        <w:rPr>
          <w:rFonts w:ascii="Verdana" w:hAnsi="Verdana"/>
          <w:b/>
          <w:bCs/>
          <w:color w:val="222222"/>
          <w:sz w:val="18"/>
          <w:szCs w:val="18"/>
        </w:rPr>
        <w:t>PoE</w:t>
      </w:r>
      <w:proofErr w:type="spellEnd"/>
      <w:r w:rsidRPr="005675B4">
        <w:rPr>
          <w:rFonts w:ascii="Verdana" w:hAnsi="Verdana"/>
          <w:b/>
          <w:bCs/>
          <w:color w:val="222222"/>
          <w:sz w:val="18"/>
          <w:szCs w:val="18"/>
        </w:rPr>
        <w:t xml:space="preserve"> oraz rejestrator zamontowane w szafie GPD2 pobierają maks. ok. 800 W.</w:t>
      </w:r>
    </w:p>
    <w:p w:rsidR="005675B4" w:rsidRPr="005675B4" w:rsidRDefault="005675B4" w:rsidP="005675B4">
      <w:pPr>
        <w:pStyle w:val="Tekstpodstawowy"/>
        <w:spacing w:line="276" w:lineRule="auto"/>
        <w:ind w:left="709"/>
        <w:rPr>
          <w:rFonts w:ascii="Verdana" w:hAnsi="Verdana"/>
          <w:b/>
          <w:bCs/>
          <w:color w:val="222222"/>
          <w:sz w:val="18"/>
          <w:szCs w:val="18"/>
        </w:rPr>
      </w:pPr>
      <w:r w:rsidRPr="005675B4">
        <w:rPr>
          <w:rFonts w:ascii="Verdana" w:hAnsi="Verdana"/>
          <w:b/>
          <w:bCs/>
          <w:color w:val="222222"/>
          <w:sz w:val="18"/>
          <w:szCs w:val="18"/>
        </w:rPr>
        <w:t>Czas podtrzymania zasilania dla projektowanego UPS przy takim poborze wynosi 1 godzinę i 20 minut.</w:t>
      </w:r>
    </w:p>
    <w:p w:rsidR="005675B4" w:rsidRPr="005675B4" w:rsidRDefault="005675B4" w:rsidP="005675B4">
      <w:pPr>
        <w:pStyle w:val="Tekstpodstawowy"/>
        <w:spacing w:line="276" w:lineRule="auto"/>
        <w:ind w:left="709"/>
        <w:rPr>
          <w:rFonts w:ascii="Verdana" w:hAnsi="Verdana"/>
          <w:b/>
          <w:bCs/>
          <w:color w:val="222222"/>
          <w:sz w:val="18"/>
          <w:szCs w:val="18"/>
        </w:rPr>
      </w:pPr>
      <w:r w:rsidRPr="005675B4">
        <w:rPr>
          <w:rFonts w:ascii="Verdana" w:hAnsi="Verdana"/>
          <w:b/>
          <w:bCs/>
          <w:color w:val="222222"/>
          <w:sz w:val="18"/>
          <w:szCs w:val="18"/>
        </w:rPr>
        <w:t xml:space="preserve">Dla zasilania i komunikacji założono, że przełącznik sieciowy </w:t>
      </w:r>
      <w:proofErr w:type="spellStart"/>
      <w:r w:rsidRPr="005675B4">
        <w:rPr>
          <w:rFonts w:ascii="Verdana" w:hAnsi="Verdana"/>
          <w:b/>
          <w:bCs/>
          <w:color w:val="222222"/>
          <w:sz w:val="18"/>
          <w:szCs w:val="18"/>
        </w:rPr>
        <w:t>PoE</w:t>
      </w:r>
      <w:proofErr w:type="spellEnd"/>
      <w:r w:rsidRPr="005675B4">
        <w:rPr>
          <w:rFonts w:ascii="Verdana" w:hAnsi="Verdana"/>
          <w:b/>
          <w:bCs/>
          <w:color w:val="222222"/>
          <w:sz w:val="18"/>
          <w:szCs w:val="18"/>
        </w:rPr>
        <w:t>  zamontowany w szafie PPD1 pobiera maksymalnie ok. 220 W.</w:t>
      </w:r>
    </w:p>
    <w:p w:rsidR="005675B4" w:rsidRPr="005675B4" w:rsidRDefault="005675B4" w:rsidP="005675B4">
      <w:pPr>
        <w:pStyle w:val="Tekstpodstawowy"/>
        <w:spacing w:line="276" w:lineRule="auto"/>
        <w:ind w:left="709"/>
        <w:rPr>
          <w:rFonts w:ascii="Verdana" w:hAnsi="Verdana"/>
          <w:b/>
          <w:bCs/>
          <w:color w:val="222222"/>
          <w:sz w:val="18"/>
          <w:szCs w:val="18"/>
        </w:rPr>
      </w:pPr>
      <w:r w:rsidRPr="005675B4">
        <w:rPr>
          <w:rFonts w:ascii="Verdana" w:hAnsi="Verdana"/>
          <w:b/>
          <w:bCs/>
          <w:color w:val="222222"/>
          <w:sz w:val="18"/>
          <w:szCs w:val="18"/>
        </w:rPr>
        <w:t>Czas podtrzymania zasilania dla projektowanego UPS przy takim poborze wynosi 1 godzinę i 18 minut.</w:t>
      </w:r>
    </w:p>
    <w:p w:rsidR="005675B4" w:rsidRPr="005675B4" w:rsidRDefault="005675B4" w:rsidP="005675B4">
      <w:pPr>
        <w:pStyle w:val="Tekstpodstawowy"/>
        <w:spacing w:line="276" w:lineRule="auto"/>
        <w:ind w:left="709"/>
        <w:rPr>
          <w:rFonts w:ascii="Verdana" w:hAnsi="Verdana"/>
          <w:b/>
          <w:bCs/>
          <w:color w:val="222222"/>
          <w:sz w:val="18"/>
          <w:szCs w:val="18"/>
        </w:rPr>
      </w:pPr>
      <w:r w:rsidRPr="005675B4">
        <w:rPr>
          <w:rFonts w:ascii="Verdana" w:hAnsi="Verdana"/>
          <w:b/>
          <w:bCs/>
          <w:color w:val="222222"/>
          <w:sz w:val="18"/>
          <w:szCs w:val="18"/>
        </w:rPr>
        <w:t>Dla urządzeń służących do podglądu obrazu założono, że stacja robocza, 2xmonitory 46” oraz jeden 24” pobierają ok. 680 W.</w:t>
      </w:r>
    </w:p>
    <w:p w:rsidR="005675B4" w:rsidRPr="005675B4" w:rsidRDefault="005675B4" w:rsidP="005675B4">
      <w:pPr>
        <w:pStyle w:val="Tekstpodstawowy"/>
        <w:spacing w:line="276" w:lineRule="auto"/>
        <w:ind w:left="709"/>
        <w:rPr>
          <w:rFonts w:ascii="Verdana" w:hAnsi="Verdana"/>
          <w:b/>
          <w:bCs/>
          <w:color w:val="222222"/>
          <w:sz w:val="18"/>
          <w:szCs w:val="18"/>
        </w:rPr>
      </w:pPr>
      <w:r w:rsidRPr="005675B4">
        <w:rPr>
          <w:rFonts w:ascii="Verdana" w:hAnsi="Verdana"/>
          <w:b/>
          <w:bCs/>
          <w:color w:val="222222"/>
          <w:sz w:val="18"/>
          <w:szCs w:val="18"/>
        </w:rPr>
        <w:t>Czas podtrzymania zasilania dla projektowanego UPS przy takim poborze wynosi 1 godzinę i 36 minut.</w:t>
      </w:r>
    </w:p>
    <w:p w:rsidR="005675B4" w:rsidRPr="005675B4" w:rsidRDefault="005675B4" w:rsidP="005675B4">
      <w:pPr>
        <w:pStyle w:val="Tekstpodstawowy"/>
        <w:spacing w:line="276" w:lineRule="auto"/>
        <w:ind w:left="709"/>
        <w:rPr>
          <w:rFonts w:ascii="Verdana" w:hAnsi="Verdana"/>
          <w:b/>
          <w:bCs/>
          <w:color w:val="222222"/>
          <w:sz w:val="18"/>
          <w:szCs w:val="18"/>
        </w:rPr>
      </w:pPr>
      <w:r w:rsidRPr="005675B4">
        <w:rPr>
          <w:rFonts w:ascii="Verdana" w:hAnsi="Verdana"/>
          <w:b/>
          <w:bCs/>
          <w:color w:val="222222"/>
          <w:sz w:val="18"/>
          <w:szCs w:val="18"/>
        </w:rPr>
        <w:t xml:space="preserve">W szafie przewidzieć zasilacze w wersji </w:t>
      </w:r>
      <w:proofErr w:type="spellStart"/>
      <w:r w:rsidRPr="005675B4">
        <w:rPr>
          <w:rFonts w:ascii="Verdana" w:hAnsi="Verdana"/>
          <w:b/>
          <w:bCs/>
          <w:color w:val="222222"/>
          <w:sz w:val="18"/>
          <w:szCs w:val="18"/>
        </w:rPr>
        <w:t>Rack</w:t>
      </w:r>
      <w:proofErr w:type="spellEnd"/>
      <w:r w:rsidRPr="005675B4">
        <w:rPr>
          <w:rFonts w:ascii="Verdana" w:hAnsi="Verdana"/>
          <w:b/>
          <w:bCs/>
          <w:color w:val="222222"/>
          <w:sz w:val="18"/>
          <w:szCs w:val="18"/>
        </w:rPr>
        <w:t xml:space="preserve"> natomiast dla stacji roboczej w wersji Tower.</w:t>
      </w:r>
    </w:p>
    <w:p w:rsidR="005675B4" w:rsidRPr="005675B4" w:rsidRDefault="005675B4" w:rsidP="005675B4">
      <w:pPr>
        <w:pStyle w:val="Tekstpodstawowy"/>
        <w:spacing w:line="276" w:lineRule="auto"/>
        <w:ind w:left="709"/>
        <w:rPr>
          <w:rFonts w:ascii="Verdana" w:hAnsi="Verdana"/>
          <w:b/>
          <w:bCs/>
          <w:color w:val="222222"/>
          <w:sz w:val="18"/>
          <w:szCs w:val="18"/>
        </w:rPr>
      </w:pPr>
      <w:r w:rsidRPr="005675B4">
        <w:rPr>
          <w:rFonts w:ascii="Verdana" w:hAnsi="Verdana"/>
          <w:b/>
          <w:bCs/>
          <w:color w:val="222222"/>
          <w:sz w:val="18"/>
          <w:szCs w:val="18"/>
        </w:rPr>
        <w:lastRenderedPageBreak/>
        <w:t>Czyli 2 x wykonanie RACK (UPS 1500 VA - PPD1 i UPS 5000 - GPD2) i 1 x Tower (UPS 5000 VA).</w:t>
      </w:r>
    </w:p>
    <w:p w:rsidR="005675B4" w:rsidRPr="005675B4" w:rsidRDefault="005675B4" w:rsidP="005675B4">
      <w:pPr>
        <w:pStyle w:val="Tekstpodstawowy"/>
        <w:spacing w:line="276" w:lineRule="auto"/>
        <w:ind w:left="709"/>
        <w:rPr>
          <w:rFonts w:ascii="Verdana" w:hAnsi="Verdana"/>
          <w:b/>
          <w:bCs/>
          <w:color w:val="222222"/>
          <w:sz w:val="18"/>
          <w:szCs w:val="18"/>
        </w:rPr>
      </w:pPr>
    </w:p>
    <w:p w:rsidR="005675B4" w:rsidRPr="005675B4" w:rsidRDefault="005675B4" w:rsidP="005675B4">
      <w:pPr>
        <w:pStyle w:val="Tekstpodstawowy"/>
        <w:spacing w:line="276" w:lineRule="auto"/>
        <w:ind w:left="709"/>
        <w:rPr>
          <w:rFonts w:ascii="Verdana" w:hAnsi="Verdana"/>
          <w:b/>
          <w:bCs/>
          <w:color w:val="222222"/>
          <w:sz w:val="18"/>
          <w:szCs w:val="18"/>
        </w:rPr>
      </w:pPr>
      <w:r w:rsidRPr="005675B4">
        <w:rPr>
          <w:rFonts w:ascii="Verdana" w:hAnsi="Verdana"/>
          <w:b/>
          <w:bCs/>
          <w:color w:val="222222"/>
          <w:sz w:val="18"/>
          <w:szCs w:val="18"/>
        </w:rPr>
        <w:t>Dla struktury:</w:t>
      </w:r>
    </w:p>
    <w:p w:rsidR="005675B4" w:rsidRPr="005675B4" w:rsidRDefault="005675B4" w:rsidP="005675B4">
      <w:pPr>
        <w:pStyle w:val="Tekstpodstawowy"/>
        <w:spacing w:line="276" w:lineRule="auto"/>
        <w:ind w:left="709"/>
        <w:rPr>
          <w:rFonts w:ascii="Verdana" w:hAnsi="Verdana"/>
          <w:b/>
          <w:bCs/>
          <w:color w:val="222222"/>
          <w:sz w:val="18"/>
          <w:szCs w:val="18"/>
        </w:rPr>
      </w:pPr>
      <w:r w:rsidRPr="005675B4">
        <w:rPr>
          <w:rFonts w:ascii="Verdana" w:hAnsi="Verdana"/>
          <w:b/>
          <w:bCs/>
          <w:color w:val="222222"/>
          <w:sz w:val="18"/>
          <w:szCs w:val="18"/>
        </w:rPr>
        <w:t>Zasilacze UPS muszą podtrzymać zasilanie na minimum 30 minut.</w:t>
      </w:r>
    </w:p>
    <w:p w:rsidR="005675B4" w:rsidRPr="005675B4" w:rsidRDefault="005675B4" w:rsidP="005675B4">
      <w:pPr>
        <w:pStyle w:val="Tekstpodstawowy"/>
        <w:spacing w:line="276" w:lineRule="auto"/>
        <w:ind w:left="709"/>
        <w:rPr>
          <w:rFonts w:ascii="Verdana" w:hAnsi="Verdana"/>
          <w:b/>
          <w:bCs/>
          <w:color w:val="222222"/>
          <w:sz w:val="18"/>
          <w:szCs w:val="18"/>
        </w:rPr>
      </w:pPr>
      <w:r w:rsidRPr="005675B4">
        <w:rPr>
          <w:rFonts w:ascii="Verdana" w:hAnsi="Verdana"/>
          <w:b/>
          <w:bCs/>
          <w:color w:val="222222"/>
          <w:sz w:val="18"/>
          <w:szCs w:val="18"/>
        </w:rPr>
        <w:t>Czyli 2 x wykonanie RACK (UPS 1500 VA - PPD1 i UPS 5000 - GPD1)</w:t>
      </w:r>
    </w:p>
    <w:p w:rsidR="005675B4" w:rsidRPr="005675B4" w:rsidRDefault="005675B4" w:rsidP="005675B4">
      <w:pPr>
        <w:pStyle w:val="Tekstpodstawowy"/>
        <w:spacing w:line="276" w:lineRule="auto"/>
        <w:ind w:left="709"/>
        <w:rPr>
          <w:rFonts w:ascii="Verdana" w:hAnsi="Verdana"/>
          <w:b/>
          <w:bCs/>
          <w:color w:val="222222"/>
          <w:sz w:val="18"/>
          <w:szCs w:val="18"/>
        </w:rPr>
      </w:pPr>
    </w:p>
    <w:p w:rsidR="005675B4" w:rsidRPr="005675B4" w:rsidRDefault="005675B4" w:rsidP="005675B4">
      <w:pPr>
        <w:pStyle w:val="Tekstpodstawowy"/>
        <w:spacing w:line="276" w:lineRule="auto"/>
        <w:ind w:left="709"/>
        <w:rPr>
          <w:rFonts w:ascii="Verdana" w:hAnsi="Verdana"/>
          <w:b/>
          <w:bCs/>
          <w:color w:val="222222"/>
          <w:sz w:val="18"/>
          <w:szCs w:val="18"/>
        </w:rPr>
      </w:pPr>
      <w:r w:rsidRPr="005675B4">
        <w:rPr>
          <w:rFonts w:ascii="Verdana" w:hAnsi="Verdana"/>
          <w:b/>
          <w:bCs/>
          <w:color w:val="222222"/>
          <w:sz w:val="18"/>
          <w:szCs w:val="18"/>
        </w:rPr>
        <w:t>Dla instalacji telefonicznej:</w:t>
      </w:r>
    </w:p>
    <w:p w:rsidR="005675B4" w:rsidRPr="005675B4" w:rsidRDefault="005675B4" w:rsidP="005675B4">
      <w:pPr>
        <w:pStyle w:val="Tekstpodstawowy"/>
        <w:spacing w:line="276" w:lineRule="auto"/>
        <w:ind w:left="709"/>
        <w:rPr>
          <w:rFonts w:ascii="Verdana" w:hAnsi="Verdana"/>
          <w:b/>
          <w:bCs/>
          <w:color w:val="222222"/>
          <w:sz w:val="18"/>
          <w:szCs w:val="18"/>
        </w:rPr>
      </w:pPr>
      <w:r w:rsidRPr="005675B4">
        <w:rPr>
          <w:rFonts w:ascii="Verdana" w:hAnsi="Verdana"/>
          <w:b/>
          <w:bCs/>
          <w:color w:val="222222"/>
          <w:sz w:val="18"/>
          <w:szCs w:val="18"/>
        </w:rPr>
        <w:t>Dla wyniesionego modułu centrali telefonicznej przewidzieć należy zasilacz telekomunikacyjny 48 V, 16A do szafy 19" wraz z bateriami 16 Ah, 12V – szt. 4. Zasilanie awaryjne wyniesionego moduł centrali telefonicznej zapewni podtrzymanie minimalnie  na 4 godziny pracy.</w:t>
      </w:r>
    </w:p>
    <w:p w:rsidR="005675B4" w:rsidRPr="005675B4" w:rsidRDefault="005675B4" w:rsidP="005675B4">
      <w:pPr>
        <w:pStyle w:val="Akapitzlist"/>
        <w:spacing w:after="0" w:line="276" w:lineRule="auto"/>
        <w:jc w:val="both"/>
        <w:rPr>
          <w:rFonts w:ascii="Verdana" w:hAnsi="Verdana"/>
          <w:sz w:val="18"/>
          <w:szCs w:val="18"/>
        </w:rPr>
      </w:pPr>
    </w:p>
    <w:p w:rsidR="005675B4" w:rsidRPr="005675B4" w:rsidRDefault="005675B4" w:rsidP="005675B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Verdana" w:hAnsi="Verdana"/>
          <w:sz w:val="18"/>
          <w:szCs w:val="18"/>
        </w:rPr>
      </w:pPr>
      <w:r w:rsidRPr="005675B4">
        <w:rPr>
          <w:rFonts w:ascii="Verdana" w:hAnsi="Verdana"/>
          <w:sz w:val="18"/>
          <w:szCs w:val="18"/>
        </w:rPr>
        <w:t xml:space="preserve">"Prosimy o udostępnienie plików OPS istniejącej  centrali w formacie zip z rozszerzeniem </w:t>
      </w:r>
      <w:proofErr w:type="spellStart"/>
      <w:r w:rsidRPr="005675B4">
        <w:rPr>
          <w:rFonts w:ascii="Verdana" w:hAnsi="Verdana"/>
          <w:sz w:val="18"/>
          <w:szCs w:val="18"/>
        </w:rPr>
        <w:t>np</w:t>
      </w:r>
      <w:proofErr w:type="spellEnd"/>
      <w:r w:rsidRPr="005675B4">
        <w:rPr>
          <w:rFonts w:ascii="Verdana" w:hAnsi="Verdana"/>
          <w:sz w:val="18"/>
          <w:szCs w:val="18"/>
        </w:rPr>
        <w:t>:  .</w:t>
      </w:r>
      <w:proofErr w:type="spellStart"/>
      <w:r w:rsidRPr="005675B4">
        <w:rPr>
          <w:rFonts w:ascii="Verdana" w:hAnsi="Verdana"/>
          <w:sz w:val="18"/>
          <w:szCs w:val="18"/>
        </w:rPr>
        <w:t>mao</w:t>
      </w:r>
      <w:proofErr w:type="spellEnd"/>
      <w:r w:rsidRPr="005675B4">
        <w:rPr>
          <w:rFonts w:ascii="Verdana" w:hAnsi="Verdana"/>
          <w:sz w:val="18"/>
          <w:szCs w:val="18"/>
        </w:rPr>
        <w:t>, .</w:t>
      </w:r>
      <w:proofErr w:type="spellStart"/>
      <w:r w:rsidRPr="005675B4">
        <w:rPr>
          <w:rFonts w:ascii="Verdana" w:hAnsi="Verdana"/>
          <w:sz w:val="18"/>
          <w:szCs w:val="18"/>
        </w:rPr>
        <w:t>hw</w:t>
      </w:r>
      <w:proofErr w:type="spellEnd"/>
      <w:r w:rsidRPr="005675B4">
        <w:rPr>
          <w:rFonts w:ascii="Verdana" w:hAnsi="Verdana"/>
          <w:sz w:val="18"/>
          <w:szCs w:val="18"/>
        </w:rPr>
        <w:t>, .</w:t>
      </w:r>
      <w:proofErr w:type="spellStart"/>
      <w:r w:rsidRPr="005675B4">
        <w:rPr>
          <w:rFonts w:ascii="Verdana" w:hAnsi="Verdana"/>
          <w:sz w:val="18"/>
          <w:szCs w:val="18"/>
        </w:rPr>
        <w:t>sw</w:t>
      </w:r>
      <w:proofErr w:type="spellEnd"/>
      <w:r w:rsidRPr="005675B4">
        <w:rPr>
          <w:rFonts w:ascii="Verdana" w:hAnsi="Verdana"/>
          <w:sz w:val="18"/>
          <w:szCs w:val="18"/>
        </w:rPr>
        <w:t>, .</w:t>
      </w:r>
      <w:proofErr w:type="spellStart"/>
      <w:r w:rsidRPr="005675B4">
        <w:rPr>
          <w:rFonts w:ascii="Verdana" w:hAnsi="Verdana"/>
          <w:sz w:val="18"/>
          <w:szCs w:val="18"/>
        </w:rPr>
        <w:t>old</w:t>
      </w:r>
      <w:proofErr w:type="spellEnd"/>
      <w:r w:rsidRPr="005675B4">
        <w:rPr>
          <w:rFonts w:ascii="Verdana" w:hAnsi="Verdana"/>
          <w:sz w:val="18"/>
          <w:szCs w:val="18"/>
        </w:rPr>
        <w:t>,</w:t>
      </w:r>
    </w:p>
    <w:p w:rsidR="005675B4" w:rsidRPr="005675B4" w:rsidRDefault="005675B4" w:rsidP="005675B4">
      <w:pPr>
        <w:pStyle w:val="Akapitzlist"/>
        <w:spacing w:after="0" w:line="276" w:lineRule="auto"/>
        <w:ind w:left="360"/>
        <w:jc w:val="both"/>
        <w:rPr>
          <w:rFonts w:ascii="Verdana" w:hAnsi="Verdana"/>
          <w:sz w:val="18"/>
          <w:szCs w:val="18"/>
        </w:rPr>
      </w:pPr>
      <w:r w:rsidRPr="005675B4">
        <w:rPr>
          <w:rFonts w:ascii="Verdana" w:hAnsi="Verdana"/>
          <w:b/>
          <w:sz w:val="18"/>
          <w:szCs w:val="18"/>
        </w:rPr>
        <w:t xml:space="preserve">Odp. Ze względu na bezpieczeństwo przedsiębiorstwa Zamawiający nie udostępni plików OPS w innym niż wcześniej zamieszczonym formacie PDF.  </w:t>
      </w:r>
    </w:p>
    <w:p w:rsidR="005675B4" w:rsidRPr="005675B4" w:rsidRDefault="005675B4" w:rsidP="005675B4">
      <w:pPr>
        <w:pStyle w:val="Akapitzlist"/>
        <w:spacing w:after="0" w:line="276" w:lineRule="auto"/>
        <w:jc w:val="both"/>
        <w:rPr>
          <w:rFonts w:ascii="Verdana" w:hAnsi="Verdana"/>
          <w:sz w:val="18"/>
          <w:szCs w:val="18"/>
        </w:rPr>
      </w:pPr>
    </w:p>
    <w:p w:rsidR="005675B4" w:rsidRPr="005675B4" w:rsidRDefault="005675B4" w:rsidP="005675B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Verdana" w:hAnsi="Verdana"/>
          <w:sz w:val="18"/>
          <w:szCs w:val="18"/>
        </w:rPr>
      </w:pPr>
      <w:r w:rsidRPr="005675B4">
        <w:rPr>
          <w:rFonts w:ascii="Verdana" w:hAnsi="Verdana"/>
          <w:sz w:val="18"/>
          <w:szCs w:val="18"/>
        </w:rPr>
        <w:t xml:space="preserve">Czy dopuszcza się zastosowanie zamiast oprawy </w:t>
      </w:r>
      <w:proofErr w:type="spellStart"/>
      <w:r w:rsidRPr="005675B4">
        <w:rPr>
          <w:rFonts w:ascii="Verdana" w:hAnsi="Verdana"/>
          <w:sz w:val="18"/>
          <w:szCs w:val="18"/>
        </w:rPr>
        <w:t>awaryjno</w:t>
      </w:r>
      <w:proofErr w:type="spellEnd"/>
      <w:r w:rsidRPr="005675B4">
        <w:rPr>
          <w:rFonts w:ascii="Verdana" w:hAnsi="Verdana"/>
          <w:sz w:val="18"/>
          <w:szCs w:val="18"/>
        </w:rPr>
        <w:t xml:space="preserve"> - ewakuacyjnej (na rzutach typ: EW2), doświetlającej drogę ewakuacji oraz wskazującej jej kierunek, dwóch opraw indywidualnych? Jedna pełniłaby funkcję oprawy zapewniającej natężenie oświetlenia na drodze ewakuacyjnej, a druga, wyposażona w piktogramy, wskazywałaby kierunek ewakuacji? Oprawy byłyby zlokalizowane w bliskiej odległości. Funkcjonalność tego rozwiązania nie odbiegałaby od projektowej.</w:t>
      </w:r>
    </w:p>
    <w:p w:rsidR="005675B4" w:rsidRPr="005675B4" w:rsidRDefault="005675B4" w:rsidP="005675B4">
      <w:pPr>
        <w:pStyle w:val="Akapitzlist"/>
        <w:spacing w:after="0" w:line="276" w:lineRule="auto"/>
        <w:ind w:left="360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5675B4">
        <w:rPr>
          <w:rFonts w:ascii="Verdana" w:hAnsi="Verdana"/>
          <w:b/>
          <w:sz w:val="18"/>
          <w:szCs w:val="18"/>
        </w:rPr>
        <w:t>Odp.  Nie. Zamawiający nie wyraża</w:t>
      </w:r>
      <w:r w:rsidRPr="005675B4">
        <w:rPr>
          <w:rFonts w:ascii="Verdana" w:hAnsi="Verdana"/>
          <w:sz w:val="18"/>
          <w:szCs w:val="18"/>
        </w:rPr>
        <w:t xml:space="preserve"> </w:t>
      </w:r>
      <w:r w:rsidRPr="005675B4">
        <w:rPr>
          <w:rFonts w:ascii="Verdana" w:hAnsi="Verdana"/>
          <w:b/>
          <w:bCs/>
          <w:color w:val="000000"/>
          <w:sz w:val="18"/>
          <w:szCs w:val="18"/>
        </w:rPr>
        <w:t xml:space="preserve">zgody na zwiększenie ilości opraw awaryjnych i ewakuacyjnych. Ma o wpływ na estetykę sufitów, a zwiększona ilość osprzętu wpływa na koszt późniejszego serwisu. </w:t>
      </w:r>
      <w:r w:rsidRPr="005675B4">
        <w:rPr>
          <w:rFonts w:ascii="Verdana" w:hAnsi="Verdana"/>
          <w:b/>
          <w:bCs/>
          <w:sz w:val="18"/>
          <w:szCs w:val="18"/>
        </w:rPr>
        <w:t>Należy stosować oprawy zgodnie z przyjętymi w projekcie założeniami.</w:t>
      </w:r>
    </w:p>
    <w:p w:rsidR="005675B4" w:rsidRPr="005675B4" w:rsidRDefault="005675B4" w:rsidP="005675B4">
      <w:pPr>
        <w:pStyle w:val="Akapitzlist"/>
        <w:spacing w:after="0" w:line="276" w:lineRule="auto"/>
        <w:jc w:val="both"/>
        <w:rPr>
          <w:rFonts w:ascii="Verdana" w:hAnsi="Verdana"/>
          <w:sz w:val="18"/>
          <w:szCs w:val="18"/>
        </w:rPr>
      </w:pPr>
    </w:p>
    <w:p w:rsidR="005675B4" w:rsidRPr="005675B4" w:rsidRDefault="005675B4" w:rsidP="005675B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Verdana" w:hAnsi="Verdana"/>
          <w:sz w:val="18"/>
          <w:szCs w:val="18"/>
        </w:rPr>
      </w:pPr>
      <w:r w:rsidRPr="005675B4">
        <w:rPr>
          <w:rFonts w:ascii="Verdana" w:hAnsi="Verdana"/>
          <w:sz w:val="18"/>
          <w:szCs w:val="18"/>
        </w:rPr>
        <w:t>Czy w miejscach występowania opraw oświetlenia podstawowego wyposażonych w zewnętrzny moduł awaryjny (na rzutach typ: F.1 AW), dopuszcza się rozwiązanie polegające na wykorzystaniu osobnej oprawy podstawowej i awaryjnej, zapewniających taką samą funkcjonalność oraz posiadające zbliżone parametry?</w:t>
      </w:r>
    </w:p>
    <w:p w:rsidR="005675B4" w:rsidRPr="005675B4" w:rsidRDefault="005675B4" w:rsidP="005675B4">
      <w:pPr>
        <w:pStyle w:val="Akapitzlist"/>
        <w:spacing w:after="0" w:line="276" w:lineRule="auto"/>
        <w:ind w:left="360"/>
        <w:jc w:val="both"/>
        <w:rPr>
          <w:rFonts w:ascii="Verdana" w:hAnsi="Verdana"/>
          <w:sz w:val="18"/>
          <w:szCs w:val="18"/>
        </w:rPr>
      </w:pPr>
      <w:r w:rsidRPr="005675B4">
        <w:rPr>
          <w:rFonts w:ascii="Verdana" w:hAnsi="Verdana"/>
          <w:b/>
          <w:bCs/>
          <w:sz w:val="18"/>
          <w:szCs w:val="18"/>
        </w:rPr>
        <w:t xml:space="preserve">Odp. </w:t>
      </w:r>
      <w:r w:rsidRPr="005675B4">
        <w:rPr>
          <w:rFonts w:ascii="Verdana" w:hAnsi="Verdana"/>
          <w:sz w:val="18"/>
          <w:szCs w:val="18"/>
        </w:rPr>
        <w:t xml:space="preserve"> </w:t>
      </w:r>
      <w:r w:rsidRPr="005675B4">
        <w:rPr>
          <w:rFonts w:ascii="Verdana" w:hAnsi="Verdana"/>
          <w:b/>
          <w:sz w:val="18"/>
          <w:szCs w:val="18"/>
        </w:rPr>
        <w:t>Nie. Zamawiający nie wyraża</w:t>
      </w:r>
      <w:r w:rsidRPr="005675B4">
        <w:rPr>
          <w:rFonts w:ascii="Verdana" w:hAnsi="Verdana"/>
          <w:sz w:val="18"/>
          <w:szCs w:val="18"/>
        </w:rPr>
        <w:t xml:space="preserve"> </w:t>
      </w:r>
      <w:r w:rsidRPr="005675B4">
        <w:rPr>
          <w:rFonts w:ascii="Verdana" w:hAnsi="Verdana"/>
          <w:b/>
          <w:bCs/>
          <w:color w:val="000000"/>
          <w:sz w:val="18"/>
          <w:szCs w:val="18"/>
        </w:rPr>
        <w:t xml:space="preserve">zgody na zaproponowane rozwiązanie. Ma o wpływ na estetykę sufitów. </w:t>
      </w:r>
      <w:r w:rsidRPr="005675B4">
        <w:rPr>
          <w:rFonts w:ascii="Verdana" w:hAnsi="Verdana"/>
          <w:b/>
          <w:bCs/>
          <w:sz w:val="18"/>
          <w:szCs w:val="18"/>
        </w:rPr>
        <w:t xml:space="preserve">Należy stosować oprawy zgodnie z przyjętymi w projekcie założeniami – oprawy oświetlenia podstawowego wyposażone w zewnętrzny układ awaryjny. </w:t>
      </w:r>
    </w:p>
    <w:p w:rsidR="005675B4" w:rsidRPr="005675B4" w:rsidRDefault="005675B4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  <w:u w:val="single"/>
        </w:rPr>
      </w:pPr>
    </w:p>
    <w:sectPr w:rsidR="005675B4" w:rsidRPr="005675B4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458E" w:rsidRDefault="006E458E">
      <w:r>
        <w:separator/>
      </w:r>
    </w:p>
  </w:endnote>
  <w:endnote w:type="continuationSeparator" w:id="0">
    <w:p w:rsidR="006E458E" w:rsidRDefault="006E4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458E" w:rsidRDefault="006E458E">
      <w:r>
        <w:separator/>
      </w:r>
    </w:p>
  </w:footnote>
  <w:footnote w:type="continuationSeparator" w:id="0">
    <w:p w:rsidR="006E458E" w:rsidRDefault="006E4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196AE3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196AE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8B2677"/>
    <w:multiLevelType w:val="multilevel"/>
    <w:tmpl w:val="96B896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458E"/>
    <w:rsid w:val="000607BF"/>
    <w:rsid w:val="000A2D5C"/>
    <w:rsid w:val="000C4220"/>
    <w:rsid w:val="000D254E"/>
    <w:rsid w:val="001102A4"/>
    <w:rsid w:val="00130D1C"/>
    <w:rsid w:val="00180DBD"/>
    <w:rsid w:val="00196AE3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675B4"/>
    <w:rsid w:val="005A7BE4"/>
    <w:rsid w:val="0061472E"/>
    <w:rsid w:val="006E458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DF2862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420C478F"/>
  <w15:chartTrackingRefBased/>
  <w15:docId w15:val="{17398913-92E1-4874-9F1C-E2B9D9EE0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675B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0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2020-08-21T05:58:00Z</cp:lastPrinted>
  <dcterms:created xsi:type="dcterms:W3CDTF">2020-08-21T05:58:00Z</dcterms:created>
  <dcterms:modified xsi:type="dcterms:W3CDTF">2020-08-21T05:58:00Z</dcterms:modified>
</cp:coreProperties>
</file>