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8FD" w:rsidRPr="00315D72" w:rsidRDefault="00BA38FD" w:rsidP="00BA38FD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E64186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E64186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E64186">
        <w:rPr>
          <w:rFonts w:ascii="Verdana" w:hAnsi="Verdana"/>
          <w:sz w:val="16"/>
          <w:szCs w:val="16"/>
        </w:rPr>
        <w:t>2020-08-</w:t>
      </w:r>
      <w:r>
        <w:rPr>
          <w:rFonts w:ascii="Verdana" w:hAnsi="Verdana"/>
          <w:sz w:val="16"/>
          <w:szCs w:val="16"/>
        </w:rPr>
        <w:t>20</w:t>
      </w:r>
    </w:p>
    <w:p w:rsidR="00BA38FD" w:rsidRPr="00315D72" w:rsidRDefault="00BA38FD" w:rsidP="00BA38F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BA38FD" w:rsidRPr="00315D72" w:rsidRDefault="00BA38FD" w:rsidP="00BA38FD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BA38FD" w:rsidRPr="00315D72" w:rsidRDefault="00BA38FD" w:rsidP="00BA38FD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BA38FD" w:rsidRPr="00315D72" w:rsidRDefault="00BA38FD" w:rsidP="00BA38FD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(49)</w:t>
      </w:r>
    </w:p>
    <w:p w:rsidR="00BA38FD" w:rsidRPr="00315D72" w:rsidRDefault="00BA38FD" w:rsidP="00BA38FD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BA38FD" w:rsidRPr="004868BC" w:rsidRDefault="00BA38FD" w:rsidP="004868B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A0372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0A0372">
        <w:rPr>
          <w:rFonts w:ascii="Verdana" w:hAnsi="Verdana"/>
          <w:b/>
          <w:sz w:val="20"/>
        </w:rPr>
        <w:t>przetarg nieograniczony”,</w:t>
      </w:r>
      <w:r w:rsidRPr="000A0372">
        <w:rPr>
          <w:rFonts w:ascii="Verdana" w:hAnsi="Verdana"/>
          <w:sz w:val="20"/>
        </w:rPr>
        <w:t xml:space="preserve"> którego przedmiotem jest </w:t>
      </w:r>
      <w:r w:rsidRPr="000A0372">
        <w:rPr>
          <w:rFonts w:ascii="Verdana" w:hAnsi="Verdana"/>
          <w:b/>
          <w:sz w:val="20"/>
        </w:rPr>
        <w:t xml:space="preserve">Budowa wielofunkcyjnej Hali Sportowej AGH w Krakowie. </w:t>
      </w:r>
      <w:r w:rsidRPr="000A0372">
        <w:rPr>
          <w:rFonts w:ascii="Verdana" w:hAnsi="Verdana"/>
          <w:b/>
          <w:sz w:val="20"/>
        </w:rPr>
        <w:br/>
      </w:r>
      <w:r w:rsidRPr="004868BC">
        <w:rPr>
          <w:rFonts w:ascii="Verdana" w:hAnsi="Verdana"/>
          <w:b/>
          <w:sz w:val="20"/>
        </w:rPr>
        <w:t>KC-zp.272-255/20.</w:t>
      </w:r>
    </w:p>
    <w:p w:rsidR="00BA38FD" w:rsidRPr="004868BC" w:rsidRDefault="00BA38FD" w:rsidP="004868BC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BA38FD" w:rsidRPr="004868BC" w:rsidRDefault="00BA38FD" w:rsidP="004868B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868BC"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4868BC" w:rsidRPr="004868BC" w:rsidRDefault="004868BC" w:rsidP="004868BC">
      <w:pPr>
        <w:pStyle w:val="Akapitzlist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 xml:space="preserve">Prosimy o przedstawienie detalu montażu stolarki zewnętrznej. 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Detal montażu ślusarki zewnętrznej pokazany został np. na rys. A-47w. W poniższym linku skorygowany rysunek:</w:t>
      </w:r>
    </w:p>
    <w:p w:rsidR="004868BC" w:rsidRPr="004868BC" w:rsidRDefault="004A09C2" w:rsidP="004868BC">
      <w:pPr>
        <w:pStyle w:val="Akapitzlist"/>
        <w:ind w:left="426" w:hanging="426"/>
        <w:jc w:val="both"/>
        <w:rPr>
          <w:rFonts w:ascii="Verdana" w:hAnsi="Verdana"/>
          <w:b/>
          <w:sz w:val="20"/>
          <w:szCs w:val="20"/>
        </w:rPr>
      </w:pPr>
      <w:hyperlink r:id="rId7" w:history="1">
        <w:r w:rsidR="004868BC" w:rsidRPr="004868BC">
          <w:rPr>
            <w:rStyle w:val="Hipercze"/>
            <w:rFonts w:ascii="Verdana" w:hAnsi="Verdana"/>
            <w:b/>
            <w:sz w:val="20"/>
            <w:szCs w:val="20"/>
          </w:rPr>
          <w:t>http://di.adm.agh.edu.pl/public/mendyk/HS/A-47w_korekta.pdf</w:t>
        </w:r>
      </w:hyperlink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 xml:space="preserve">Prosimy o potwierdzenie konieczności ujęcia w ofercie dostawy i montaży </w:t>
      </w:r>
      <w:proofErr w:type="spellStart"/>
      <w:r w:rsidRPr="004868BC">
        <w:rPr>
          <w:rFonts w:ascii="Verdana" w:hAnsi="Verdana"/>
          <w:sz w:val="20"/>
          <w:szCs w:val="20"/>
        </w:rPr>
        <w:t>odstraszaczy</w:t>
      </w:r>
      <w:proofErr w:type="spellEnd"/>
      <w:r w:rsidRPr="004868BC">
        <w:rPr>
          <w:rFonts w:ascii="Verdana" w:hAnsi="Verdana"/>
          <w:sz w:val="20"/>
          <w:szCs w:val="20"/>
        </w:rPr>
        <w:t xml:space="preserve"> na ptaki na parapetach zewnętrznych. Jeżeli zakres ten powinien zostać ujęty w ofercie, prosimy o wskazanie typu oraz docelowej ilości.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Parapety należy wyposażyć w spirale zabezpieczające lub bolce uniemożliwiające siadanie i gniazdowanie ptaków.</w:t>
      </w: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Należy przewidz</w:t>
      </w:r>
      <w:r w:rsidRPr="004868BC">
        <w:rPr>
          <w:rFonts w:ascii="Verdana" w:hAnsi="Verdana"/>
          <w:b/>
          <w:bCs/>
          <w:color w:val="000000"/>
          <w:sz w:val="20"/>
          <w:szCs w:val="20"/>
        </w:rPr>
        <w:t xml:space="preserve">ieć kolce zabezpieczające z prętów metalowych ze sprężystego drutu ze stali kwasoodpornej osadzonych na bezbarwnej podstawie wykonanej z poliwęglanu o podwyższonej wytrzymałości, odpornego na działanie słońca, warunków atmosferycznych oraz niskich i wysokich temperatur. Kolce mają mieć tępe aby nie powodować ranienia ptaków. Alternatywnie dopuszcza się stosowanie spirali zabezpieczających składających się z wygiętych w okrągłe lub owalne kształty odcinków drutu </w:t>
      </w:r>
      <w:r w:rsidRPr="004868BC">
        <w:rPr>
          <w:rFonts w:ascii="Verdana" w:hAnsi="Verdana"/>
          <w:b/>
          <w:bCs/>
          <w:color w:val="000000"/>
          <w:sz w:val="20"/>
          <w:szCs w:val="20"/>
        </w:rPr>
        <w:lastRenderedPageBreak/>
        <w:t xml:space="preserve">zamocowanego na podstawkach z poliwęglanu tworzących podłużną spiralę. </w:t>
      </w: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bCs/>
          <w:color w:val="000000"/>
          <w:sz w:val="20"/>
          <w:szCs w:val="20"/>
        </w:rPr>
        <w:t>Zabezpieczenie należy zamontować we wszystkich oknach.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Z uwagi na konieczność rozbudowy istniejącej centrali telefonicznej prosimy o dostarczenie plików OPS z centrali głównej Alcatel (</w:t>
      </w:r>
      <w:proofErr w:type="spellStart"/>
      <w:r w:rsidRPr="004868BC">
        <w:rPr>
          <w:rFonts w:ascii="Verdana" w:hAnsi="Verdana"/>
          <w:sz w:val="20"/>
          <w:szCs w:val="20"/>
        </w:rPr>
        <w:t>OmniPCX</w:t>
      </w:r>
      <w:proofErr w:type="spellEnd"/>
      <w:r w:rsidRPr="004868BC">
        <w:rPr>
          <w:rFonts w:ascii="Verdana" w:hAnsi="Verdana"/>
          <w:sz w:val="20"/>
          <w:szCs w:val="20"/>
        </w:rPr>
        <w:t xml:space="preserve"> Enterprise).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Odpowiedzi udzielono w dokumencie „Odpowiedź na zapytania w sprawie SIWZ nr 16”</w:t>
      </w:r>
      <w:r>
        <w:rPr>
          <w:rFonts w:ascii="Verdana" w:hAnsi="Verdana"/>
          <w:b/>
          <w:sz w:val="20"/>
          <w:szCs w:val="20"/>
        </w:rPr>
        <w:t xml:space="preserve"> z dnia 24/07/2020r. 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 xml:space="preserve">Fasady przeszklone ppoż. EI np. rys. A-21. Proszę o potwierdzenie przeprowadzenia przez Projektanta konsultacji wysokości przeszkleń ppoż. EI z </w:t>
      </w:r>
      <w:proofErr w:type="spellStart"/>
      <w:r w:rsidRPr="004868BC">
        <w:rPr>
          <w:rFonts w:ascii="Verdana" w:hAnsi="Verdana"/>
          <w:sz w:val="20"/>
          <w:szCs w:val="20"/>
        </w:rPr>
        <w:t>systemodawcami</w:t>
      </w:r>
      <w:proofErr w:type="spellEnd"/>
      <w:r w:rsidRPr="004868BC">
        <w:rPr>
          <w:rFonts w:ascii="Verdana" w:hAnsi="Verdana"/>
          <w:sz w:val="20"/>
          <w:szCs w:val="20"/>
        </w:rPr>
        <w:t>. W opinii oferenta konieczne będzie wprowadzenie dodatkowego poziomego podziału konstrukcji.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W poniższym linku skorygowany rysunek A-21 (wysokość przeszkleń nie przekracza 3000mm).</w:t>
      </w:r>
    </w:p>
    <w:p w:rsidR="004868BC" w:rsidRPr="004868BC" w:rsidRDefault="004A09C2" w:rsidP="004868BC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hyperlink r:id="rId8" w:history="1">
        <w:r w:rsidR="004868BC" w:rsidRPr="004868BC">
          <w:rPr>
            <w:rStyle w:val="Hipercze"/>
            <w:rFonts w:ascii="Verdana" w:hAnsi="Verdana"/>
            <w:b/>
            <w:sz w:val="20"/>
            <w:szCs w:val="20"/>
          </w:rPr>
          <w:t>http://di.adm.agh.edu.pl/public/mendyk/HS/A-21_AGH_Z_S_OSL_ZEW.pdf</w:t>
        </w:r>
      </w:hyperlink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 xml:space="preserve">Czy Inwestor dopuszcza min. inną  szerokość profili fasadowych. Większość systemów jest o szer. 50mm. Brak akceptacji oznacza ograniczoną możliwość wyboru oraz wykluczenia części </w:t>
      </w:r>
      <w:proofErr w:type="spellStart"/>
      <w:r w:rsidRPr="004868BC">
        <w:rPr>
          <w:rFonts w:ascii="Verdana" w:hAnsi="Verdana"/>
          <w:sz w:val="20"/>
          <w:szCs w:val="20"/>
        </w:rPr>
        <w:t>systemodawców</w:t>
      </w:r>
      <w:proofErr w:type="spellEnd"/>
      <w:r w:rsidRPr="004868BC">
        <w:rPr>
          <w:rFonts w:ascii="Verdana" w:hAnsi="Verdana"/>
          <w:sz w:val="20"/>
          <w:szCs w:val="20"/>
        </w:rPr>
        <w:t xml:space="preserve"> ślusarki aluminiowej z przetargu.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Dopuszcza się inne szerokości profili od założonych w projekcie, ale różnica nie może powodować zmiany wyglądu elewacji (tzn. różnica rzędu 40% na szerokości profilu jest dopuszczalna, natomiast różnica większa będzie rzutować na wygląd elewacji, więc jest niedopuszczalna).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 xml:space="preserve">W opisie umieszczono rodzaj szkła konkretnego producenta. Czy Inwestor dopuszcza przyjęcie szkła innego producenta? Prosimy o podanie parametrów równoważnych szkła, takich jak </w:t>
      </w:r>
      <w:proofErr w:type="spellStart"/>
      <w:r w:rsidRPr="004868BC">
        <w:rPr>
          <w:rFonts w:ascii="Verdana" w:hAnsi="Verdana"/>
          <w:sz w:val="20"/>
          <w:szCs w:val="20"/>
        </w:rPr>
        <w:t>Lt</w:t>
      </w:r>
      <w:proofErr w:type="spellEnd"/>
      <w:r w:rsidRPr="004868BC">
        <w:rPr>
          <w:rFonts w:ascii="Verdana" w:hAnsi="Verdana"/>
          <w:sz w:val="20"/>
          <w:szCs w:val="20"/>
        </w:rPr>
        <w:t xml:space="preserve"> oraz g. 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Podane w opisie szkło stanowi przykład zestawu szklanego spełniającego wymagania.</w:t>
      </w: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Dopuszcza się innych dostawców, poniżej wymagane minimalne parametry: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a)      </w:t>
      </w:r>
      <w:r w:rsidRPr="004868BC">
        <w:rPr>
          <w:rFonts w:ascii="Verdana" w:eastAsia="ArialMT" w:hAnsi="Verdana"/>
          <w:b/>
          <w:sz w:val="20"/>
        </w:rPr>
        <w:t>Szklenie fasad, tafle wysokie (bezpieczne w klasie P2A):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proofErr w:type="spellStart"/>
      <w:r w:rsidRPr="004868BC">
        <w:rPr>
          <w:rFonts w:ascii="Verdana" w:hAnsi="Verdana"/>
          <w:b/>
          <w:bCs/>
          <w:sz w:val="20"/>
        </w:rPr>
        <w:t>Ug</w:t>
      </w:r>
      <w:proofErr w:type="spellEnd"/>
      <w:r w:rsidRPr="004868BC">
        <w:rPr>
          <w:rFonts w:ascii="Verdana" w:hAnsi="Verdana"/>
          <w:b/>
          <w:bCs/>
          <w:sz w:val="20"/>
        </w:rPr>
        <w:t xml:space="preserve"> [W/m2K]:  0,5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proofErr w:type="spellStart"/>
      <w:r w:rsidRPr="004868BC">
        <w:rPr>
          <w:rFonts w:ascii="Verdana" w:hAnsi="Verdana"/>
          <w:b/>
          <w:bCs/>
          <w:sz w:val="20"/>
        </w:rPr>
        <w:t>Lt</w:t>
      </w:r>
      <w:proofErr w:type="spellEnd"/>
      <w:r w:rsidRPr="004868BC">
        <w:rPr>
          <w:rFonts w:ascii="Verdana" w:hAnsi="Verdana"/>
          <w:b/>
          <w:bCs/>
          <w:sz w:val="20"/>
        </w:rPr>
        <w:t xml:space="preserve"> [%]: 51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Lr [%]: 16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Ra-RD65 [%]: 94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g[%]: 32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 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b)       Szklenie fasad EI 60 (maksymalna wysokość 3000mm). Bezpieczne w klasie P2A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proofErr w:type="spellStart"/>
      <w:r w:rsidRPr="004868BC">
        <w:rPr>
          <w:rFonts w:ascii="Verdana" w:hAnsi="Verdana"/>
          <w:b/>
          <w:bCs/>
          <w:sz w:val="20"/>
        </w:rPr>
        <w:t>Ug</w:t>
      </w:r>
      <w:proofErr w:type="spellEnd"/>
      <w:r w:rsidRPr="004868BC">
        <w:rPr>
          <w:rFonts w:ascii="Verdana" w:hAnsi="Verdana"/>
          <w:b/>
          <w:bCs/>
          <w:sz w:val="20"/>
        </w:rPr>
        <w:t xml:space="preserve"> [W/m2K]:  0,5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proofErr w:type="spellStart"/>
      <w:r w:rsidRPr="004868BC">
        <w:rPr>
          <w:rFonts w:ascii="Verdana" w:hAnsi="Verdana"/>
          <w:b/>
          <w:bCs/>
          <w:sz w:val="20"/>
        </w:rPr>
        <w:t>Lt</w:t>
      </w:r>
      <w:proofErr w:type="spellEnd"/>
      <w:r w:rsidRPr="004868BC">
        <w:rPr>
          <w:rFonts w:ascii="Verdana" w:hAnsi="Verdana"/>
          <w:b/>
          <w:bCs/>
          <w:sz w:val="20"/>
        </w:rPr>
        <w:t xml:space="preserve"> [%]: 49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lastRenderedPageBreak/>
        <w:t>Lr [%]: 16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Ra-RD65 [%]: 93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g[%]: 32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 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c)      </w:t>
      </w:r>
      <w:r w:rsidRPr="004868BC">
        <w:rPr>
          <w:rFonts w:ascii="Verdana" w:eastAsia="ArialMT" w:hAnsi="Verdana"/>
          <w:b/>
          <w:sz w:val="20"/>
        </w:rPr>
        <w:t>Szklenie okien (bezpieczne w klasie P2A)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proofErr w:type="spellStart"/>
      <w:r w:rsidRPr="004868BC">
        <w:rPr>
          <w:rFonts w:ascii="Verdana" w:hAnsi="Verdana"/>
          <w:b/>
          <w:bCs/>
          <w:sz w:val="20"/>
        </w:rPr>
        <w:t>Ug</w:t>
      </w:r>
      <w:proofErr w:type="spellEnd"/>
      <w:r w:rsidRPr="004868BC">
        <w:rPr>
          <w:rFonts w:ascii="Verdana" w:hAnsi="Verdana"/>
          <w:b/>
          <w:bCs/>
          <w:sz w:val="20"/>
        </w:rPr>
        <w:t xml:space="preserve"> [W/m2K]:  0,5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proofErr w:type="spellStart"/>
      <w:r w:rsidRPr="004868BC">
        <w:rPr>
          <w:rFonts w:ascii="Verdana" w:hAnsi="Verdana"/>
          <w:b/>
          <w:bCs/>
          <w:sz w:val="20"/>
        </w:rPr>
        <w:t>Lt</w:t>
      </w:r>
      <w:proofErr w:type="spellEnd"/>
      <w:r w:rsidRPr="004868BC">
        <w:rPr>
          <w:rFonts w:ascii="Verdana" w:hAnsi="Verdana"/>
          <w:b/>
          <w:bCs/>
          <w:sz w:val="20"/>
        </w:rPr>
        <w:t xml:space="preserve"> [%]: 51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Lr [%]: 16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Ra-RD65 [%]: 95</w:t>
      </w:r>
    </w:p>
    <w:p w:rsidR="004868BC" w:rsidRPr="004868BC" w:rsidRDefault="004868BC" w:rsidP="004868BC">
      <w:pPr>
        <w:pStyle w:val="Tekstpodstawowy"/>
        <w:numPr>
          <w:ilvl w:val="0"/>
          <w:numId w:val="2"/>
        </w:numPr>
        <w:spacing w:line="240" w:lineRule="auto"/>
        <w:ind w:left="426" w:firstLine="0"/>
        <w:jc w:val="left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g[%]: 32</w:t>
      </w:r>
    </w:p>
    <w:p w:rsidR="004868BC" w:rsidRPr="004868BC" w:rsidRDefault="004868BC" w:rsidP="004868BC">
      <w:pPr>
        <w:pStyle w:val="Tekstpodstawowy"/>
        <w:spacing w:line="240" w:lineRule="auto"/>
        <w:ind w:left="426" w:hanging="426"/>
        <w:rPr>
          <w:rFonts w:ascii="Verdana" w:hAnsi="Verdana"/>
          <w:sz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Prosimy o informację, czy przebudowa stacji wskazana w Warunkach przyłączenia z dnia 10.04.2019 nr. WP/095734/2018/O09R04 ma być uwzględniona w ofercie, czy wskazany w nich zakres prac zostanie wykonany przez Inwestora?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Stacja transformatorowa jest własnością OSD Tauron Dystrybucja te prace są po stronie OSD Tauron Dystrybucja.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 xml:space="preserve">Prosimy o informację, w jakiej technologii mają być lampy awaryjne? W opisie technicznym jest informacja, że oprawy mają być z </w:t>
      </w:r>
      <w:proofErr w:type="spellStart"/>
      <w:r w:rsidRPr="004868BC">
        <w:rPr>
          <w:rFonts w:ascii="Verdana" w:hAnsi="Verdana"/>
          <w:sz w:val="20"/>
          <w:szCs w:val="20"/>
        </w:rPr>
        <w:t>autotestem</w:t>
      </w:r>
      <w:proofErr w:type="spellEnd"/>
      <w:r w:rsidRPr="004868BC">
        <w:rPr>
          <w:rFonts w:ascii="Verdana" w:hAnsi="Verdana"/>
          <w:sz w:val="20"/>
          <w:szCs w:val="20"/>
        </w:rPr>
        <w:t xml:space="preserve"> "W budynku zaprojektowano system oświetlenia awaryjnego rozproszony - bateria w oprawie. Oprawy z </w:t>
      </w:r>
      <w:proofErr w:type="spellStart"/>
      <w:r w:rsidRPr="004868BC">
        <w:rPr>
          <w:rFonts w:ascii="Verdana" w:hAnsi="Verdana"/>
          <w:sz w:val="20"/>
          <w:szCs w:val="20"/>
        </w:rPr>
        <w:t>autotestem</w:t>
      </w:r>
      <w:proofErr w:type="spellEnd"/>
      <w:r w:rsidRPr="004868BC">
        <w:rPr>
          <w:rFonts w:ascii="Verdana" w:hAnsi="Verdana"/>
          <w:sz w:val="20"/>
          <w:szCs w:val="20"/>
        </w:rPr>
        <w:t xml:space="preserve">. Baterie o podtrzymaniu 1 godzinnym. Tylko w pomieszczeniach ruchu elektrycznego w stacji </w:t>
      </w:r>
      <w:proofErr w:type="spellStart"/>
      <w:r w:rsidRPr="004868BC">
        <w:rPr>
          <w:rFonts w:ascii="Verdana" w:hAnsi="Verdana"/>
          <w:sz w:val="20"/>
          <w:szCs w:val="20"/>
        </w:rPr>
        <w:t>trafo</w:t>
      </w:r>
      <w:proofErr w:type="spellEnd"/>
      <w:r w:rsidRPr="004868BC">
        <w:rPr>
          <w:rFonts w:ascii="Verdana" w:hAnsi="Verdana"/>
          <w:sz w:val="20"/>
          <w:szCs w:val="20"/>
        </w:rPr>
        <w:t xml:space="preserve"> przewiduje się baterie z podtrzymaniem 3 godzinnym oraz natężenie oświetlenia 50 lx"  W dokumentacji jednak znajduje schemat monitoringu opraw awaryjnych (Rys. E-7.0).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 xml:space="preserve">Odp.: Oprawy mają być z </w:t>
      </w:r>
      <w:proofErr w:type="spellStart"/>
      <w:r w:rsidRPr="004868BC">
        <w:rPr>
          <w:rFonts w:ascii="Verdana" w:hAnsi="Verdana"/>
          <w:b/>
          <w:sz w:val="20"/>
          <w:szCs w:val="20"/>
        </w:rPr>
        <w:t>autotestem</w:t>
      </w:r>
      <w:proofErr w:type="spellEnd"/>
      <w:r w:rsidRPr="004868BC">
        <w:rPr>
          <w:rFonts w:ascii="Verdana" w:hAnsi="Verdana"/>
          <w:b/>
          <w:sz w:val="20"/>
          <w:szCs w:val="20"/>
        </w:rPr>
        <w:t xml:space="preserve"> i monitoringiem (jako element dodatkowy, sprawdzający) – należy wykonać zgodnie z projektem.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Czy w stacji transformatorowej 4389 zgodnie z zapisem w Warunkach Przyłączenia są już  wyposażone pola zasilające podstawowe i rezerwowe?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Stacja transformatorowa jest własnością OSD Tauron Dystrybucja te prace są po stronie OSD Tauron Dystrybucja.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W Projekcie ,,Sieci i instalacje elektryczne''  z czerwca 2020 drobiazgowo został opisany proces produkcji słupa dla latarni. Czy inwestor dopuszcza inne produkty niż opisany?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 xml:space="preserve">Odp.: </w:t>
      </w:r>
      <w:r w:rsidRPr="004868BC">
        <w:rPr>
          <w:rFonts w:ascii="Verdana" w:hAnsi="Verdana"/>
          <w:b/>
          <w:bCs/>
          <w:sz w:val="20"/>
          <w:szCs w:val="20"/>
        </w:rPr>
        <w:t>Zgodnie z projektem (cześć opisowa):</w:t>
      </w:r>
    </w:p>
    <w:p w:rsidR="004868BC" w:rsidRPr="004868BC" w:rsidRDefault="004868BC" w:rsidP="004868BC">
      <w:pPr>
        <w:ind w:left="426" w:hanging="426"/>
        <w:jc w:val="both"/>
        <w:rPr>
          <w:rFonts w:ascii="Verdana" w:hAnsi="Verdana"/>
        </w:rPr>
      </w:pPr>
      <w:r w:rsidRPr="004868BC">
        <w:rPr>
          <w:rFonts w:ascii="Verdana" w:hAnsi="Verdana"/>
          <w:b/>
          <w:bCs/>
        </w:rPr>
        <w:t>Oświetlenie terenu zostanie zbudowane w oparciu o słupy stalowe h=7 m na fundamencie F-150 z jedno i dwuramiennymi wysięgnikami. Słupy stalowe okrągłe cynkowane ogniowo, spawane laserowo materiałem rodzimym (szew wzdłużny niewidoczny), stożkowe.</w:t>
      </w:r>
    </w:p>
    <w:p w:rsidR="004868BC" w:rsidRPr="004868BC" w:rsidRDefault="004868BC" w:rsidP="004868BC">
      <w:pPr>
        <w:ind w:left="426" w:hanging="426"/>
        <w:jc w:val="both"/>
        <w:rPr>
          <w:rFonts w:ascii="Verdana" w:hAnsi="Verdana"/>
        </w:rPr>
      </w:pPr>
      <w:r w:rsidRPr="004868BC">
        <w:rPr>
          <w:rFonts w:ascii="Verdana" w:hAnsi="Verdana"/>
          <w:b/>
          <w:bCs/>
        </w:rPr>
        <w:t xml:space="preserve">Szczegółowo została opisana klas korozyjności C5 (zgodnie z normą PN-EN ISO 12944- potwierdzone certyfikatem </w:t>
      </w:r>
      <w:r w:rsidRPr="004868BC">
        <w:rPr>
          <w:rFonts w:ascii="Verdana" w:hAnsi="Verdana"/>
          <w:b/>
          <w:bCs/>
        </w:rPr>
        <w:lastRenderedPageBreak/>
        <w:t xml:space="preserve">producenta proszku), ponieważ jest to istotny parametr wpływający na żywotność lampy. </w:t>
      </w:r>
    </w:p>
    <w:p w:rsidR="004868BC" w:rsidRPr="004868BC" w:rsidRDefault="004868BC" w:rsidP="004868BC">
      <w:pPr>
        <w:ind w:left="426" w:hanging="426"/>
        <w:jc w:val="both"/>
        <w:rPr>
          <w:rFonts w:ascii="Verdana" w:hAnsi="Verdana"/>
        </w:rPr>
      </w:pPr>
      <w:r w:rsidRPr="004868BC">
        <w:rPr>
          <w:rFonts w:ascii="Verdana" w:hAnsi="Verdana"/>
          <w:b/>
          <w:bCs/>
        </w:rPr>
        <w:t xml:space="preserve">Podtrzymujemy wymagania dotyczące klasy antykorozyjności C5 oraz klasy bezpieczeństwa. 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>Kolor – zbliżony do RAL 7016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 xml:space="preserve">Wszystkie typy słupów odpowiadające opisowi są dopuszczalne. 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 xml:space="preserve">W Opisie do Projektu str. 17 jest opisane sterowanie i monitoring oświetlenia zewnętrznego; Jednoznacznie wynika z niego że można tylko zastosować elementy sterujące w oprawach należące do Firmy </w:t>
      </w:r>
      <w:proofErr w:type="spellStart"/>
      <w:r w:rsidRPr="004868BC">
        <w:rPr>
          <w:rFonts w:ascii="Verdana" w:hAnsi="Verdana"/>
          <w:sz w:val="20"/>
          <w:szCs w:val="20"/>
        </w:rPr>
        <w:t>Schrede'r</w:t>
      </w:r>
      <w:proofErr w:type="spellEnd"/>
      <w:r w:rsidRPr="004868BC">
        <w:rPr>
          <w:rFonts w:ascii="Verdana" w:hAnsi="Verdana"/>
          <w:sz w:val="20"/>
          <w:szCs w:val="20"/>
        </w:rPr>
        <w:t xml:space="preserve">. Każda innego producenta musi mieć ten sterownik. Na rynku jest konkurencja; Firma  </w:t>
      </w:r>
      <w:proofErr w:type="spellStart"/>
      <w:r w:rsidRPr="004868BC">
        <w:rPr>
          <w:rFonts w:ascii="Verdana" w:hAnsi="Verdana"/>
          <w:sz w:val="20"/>
          <w:szCs w:val="20"/>
        </w:rPr>
        <w:t>Schreder</w:t>
      </w:r>
      <w:proofErr w:type="spellEnd"/>
      <w:r w:rsidRPr="004868BC">
        <w:rPr>
          <w:rFonts w:ascii="Verdana" w:hAnsi="Verdana"/>
          <w:sz w:val="20"/>
          <w:szCs w:val="20"/>
        </w:rPr>
        <w:t xml:space="preserve"> nie musi go odsprzedawać konkurencji. Proszę potwierdzić jednoznacznie; czy to musi być produkt Firmy </w:t>
      </w:r>
      <w:proofErr w:type="spellStart"/>
      <w:r w:rsidRPr="004868BC">
        <w:rPr>
          <w:rFonts w:ascii="Verdana" w:hAnsi="Verdana"/>
          <w:sz w:val="20"/>
          <w:szCs w:val="20"/>
        </w:rPr>
        <w:t>Schreder</w:t>
      </w:r>
      <w:proofErr w:type="spellEnd"/>
      <w:r w:rsidRPr="004868BC">
        <w:rPr>
          <w:rFonts w:ascii="Verdana" w:hAnsi="Verdana"/>
          <w:sz w:val="20"/>
          <w:szCs w:val="20"/>
        </w:rPr>
        <w:t>?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 xml:space="preserve">Odp.: </w:t>
      </w:r>
      <w:r w:rsidRPr="004868BC">
        <w:rPr>
          <w:rFonts w:ascii="Verdana" w:hAnsi="Verdana"/>
          <w:b/>
          <w:sz w:val="20"/>
          <w:szCs w:val="20"/>
          <w:shd w:val="clear" w:color="auto" w:fill="FFFFFF"/>
        </w:rPr>
        <w:t>Zamawiający wymaga aby w instalacji oświetlenia zewnętrznego wykonać kompletny system sterowania oświetleniem zgodnie z wymogami  dla takiego systemu zawartymi w projekcie zawierający miedzy innymi sterowniki w oprawach oświetleniowych; sterownik centralny w rozdzielni ROZ; itd. Zamawiający nie wymaga produkt</w:t>
      </w:r>
      <w:r w:rsidR="004A09C2">
        <w:rPr>
          <w:rFonts w:ascii="Verdana" w:hAnsi="Verdana"/>
          <w:b/>
          <w:sz w:val="20"/>
          <w:szCs w:val="20"/>
          <w:shd w:val="clear" w:color="auto" w:fill="FFFFFF"/>
        </w:rPr>
        <w:t>ów</w:t>
      </w:r>
      <w:r w:rsidRPr="004868BC">
        <w:rPr>
          <w:rFonts w:ascii="Verdana" w:hAnsi="Verdana"/>
          <w:b/>
          <w:sz w:val="20"/>
          <w:szCs w:val="20"/>
          <w:shd w:val="clear" w:color="auto" w:fill="FFFFFF"/>
        </w:rPr>
        <w:t xml:space="preserve"> firmy </w:t>
      </w:r>
      <w:proofErr w:type="spellStart"/>
      <w:r w:rsidRPr="004868BC">
        <w:rPr>
          <w:rFonts w:ascii="Verdana" w:hAnsi="Verdana"/>
          <w:b/>
          <w:sz w:val="20"/>
          <w:szCs w:val="20"/>
          <w:shd w:val="clear" w:color="auto" w:fill="FFFFFF"/>
        </w:rPr>
        <w:t>Schrede’r</w:t>
      </w:r>
      <w:proofErr w:type="spellEnd"/>
      <w:r w:rsidRPr="004868BC">
        <w:rPr>
          <w:rFonts w:ascii="Verdana" w:hAnsi="Verdana"/>
          <w:b/>
          <w:sz w:val="20"/>
          <w:szCs w:val="20"/>
          <w:shd w:val="clear" w:color="auto" w:fill="FFFFFF"/>
        </w:rPr>
        <w:t>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color w:val="FF0000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 xml:space="preserve">W Projekcie Wykonawczym pisze;  wokół budowanego obiektu jest stosowany system monitoringu opraw oparty na sterowniku centralnym </w:t>
      </w:r>
      <w:proofErr w:type="spellStart"/>
      <w:r w:rsidRPr="004868BC">
        <w:rPr>
          <w:rFonts w:ascii="Verdana" w:hAnsi="Verdana"/>
          <w:sz w:val="20"/>
          <w:szCs w:val="20"/>
        </w:rPr>
        <w:t>SeCo</w:t>
      </w:r>
      <w:proofErr w:type="spellEnd"/>
      <w:r w:rsidRPr="004868BC">
        <w:rPr>
          <w:rFonts w:ascii="Verdana" w:hAnsi="Verdana"/>
          <w:sz w:val="20"/>
          <w:szCs w:val="20"/>
        </w:rPr>
        <w:t>. W przedmiarze jest pozycja dla tego sterownika. Sterownik ten potrafi ,,obsłużyć''  do 150 opraw oświetleniowych. Pytanie jest; czy nie posiada on wolnych  ,,mocy przerobowych'' i nie obsłużyłby tych 33 opraw z tego Projektu?  Tak  przy okazji; oprawy wokół tej inwestycji ( ich rodzaj) raczej nie sugerują że działają w tym monitoringu opisanym w Projekcie, chyba że są gdzieś jeszcze inne.</w:t>
      </w:r>
    </w:p>
    <w:p w:rsidR="004868BC" w:rsidRPr="004868BC" w:rsidRDefault="004868BC" w:rsidP="004A09C2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Zamawiający wymaga aby sterowanie wykonać zgodnie z projektem wykonawczym. Zamawiający nie wyraża zgody na łączenie obszarów sterowa</w:t>
      </w:r>
      <w:bookmarkStart w:id="0" w:name="_GoBack"/>
      <w:bookmarkEnd w:id="0"/>
      <w:r w:rsidRPr="004868BC">
        <w:rPr>
          <w:rFonts w:ascii="Verdana" w:hAnsi="Verdana"/>
          <w:b/>
          <w:sz w:val="20"/>
          <w:szCs w:val="20"/>
        </w:rPr>
        <w:t>nia nie opisanych i zawartych w projekcie tj.: nie wyraża zgody na połączenie w jednym sterowniku dwóch obszarów.</w:t>
      </w:r>
      <w:r w:rsidRPr="004868BC">
        <w:rPr>
          <w:rFonts w:ascii="Verdana" w:hAnsi="Verdana"/>
          <w:sz w:val="20"/>
          <w:szCs w:val="20"/>
        </w:rPr>
        <w:t xml:space="preserve"> 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Na rysunku E-03 jest rozrysowany schemat kanalizacji dla kabla zasilającego oprawy oświetleniowe, to jest dedykowana rura DVK 75,  oznaczona kolorem czerwonym, druga rura oznaczona kolorem niebieskim DVK 50 dla  szlabanów ( LAN 11.  światłowód, YKXS 3x2.5mm2) i trzecia rura też DVK 50 dedykowana dla kamer. Co do długości kanalizacji nie ma wątpliwości w przypadku kabla zasilającego oprawy i kabli do szlabanów.  Pytanie; z rysunku wynika że kanalizacja dla kabla CCTV  nie jest identyczna z pozostałymi. Czy można ją wyróżnić na rysunku, czy przyjąć że wszystkie mają  taką samą długość?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Trasa kabla CCTV jest identyczna z pozostałymi.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lastRenderedPageBreak/>
        <w:t>Na rysunku E-03   studnie kablowe są opisane indywidualnie; SK-4, SK-1 . Nie są opisane studnie   rozgałęźne;  Proszę potwierdzić że są to SKO-2, lub podać jakie.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Studnie rozgałęźnie to studnie SKO-2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W opisie technicznym projektu wykonawczego instalacji niskoprądowych jest mowa o przyciskach z linką, w które winny być wyposażone toalety dla niepełnosprawnych. W zestawieniu materiałowym również ujęte są 2 przyciski tego typu. Z kolei na schemacie instalacji jak i jej planach nie ma ani jednego przycisku z linką. Prosimy o potwierdzenie konieczności wyposażenia łazienek we wspomniane przyciski oraz podanie ich wymaganej ilości.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Wszystkie toalety dla niepełnosprawnych mają być wyposażone w przyciski z linką -</w:t>
      </w:r>
      <w:r w:rsidRPr="004868BC">
        <w:rPr>
          <w:rFonts w:ascii="Verdana" w:hAnsi="Verdana"/>
          <w:b/>
          <w:sz w:val="20"/>
          <w:szCs w:val="20"/>
          <w:u w:val="single"/>
        </w:rPr>
        <w:t xml:space="preserve"> łącznie 12 szt.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Instalacje niskoprądowe, system VSS (nadzoru wizyjnego):Według danych przedstawionych w opisie projektowym, kamera Typ 2 to kamera analogowa. Z kolei rejestrator przewidziany w projekcie obsługuje, zgodnie z opisem, jedynie kamery IP.  Prosimy o korektę opisu i przedstawienie aktualnych wymagań co do kamery Typ 2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 xml:space="preserve">Odp.: 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>Zamawiający wymaga aby wszystkie kamery systemu VSS były kamerami cyfrowymi (IP).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bCs/>
          <w:color w:val="000000"/>
          <w:sz w:val="20"/>
          <w:szCs w:val="20"/>
        </w:rPr>
        <w:t>Minimalne wymagania dla kamery typ 2: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przetwornik: 1/3" 4MP Progressive Scan CMOS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 xml:space="preserve">rozdzielczość: 2688×1520 / 25 </w:t>
      </w:r>
      <w:proofErr w:type="spellStart"/>
      <w:r w:rsidRPr="004868BC">
        <w:rPr>
          <w:rFonts w:ascii="Verdana" w:hAnsi="Verdana"/>
          <w:b/>
          <w:bCs/>
          <w:color w:val="000000"/>
          <w:sz w:val="20"/>
        </w:rPr>
        <w:t>kl</w:t>
      </w:r>
      <w:proofErr w:type="spellEnd"/>
      <w:r w:rsidRPr="004868BC">
        <w:rPr>
          <w:rFonts w:ascii="Verdana" w:hAnsi="Verdana"/>
          <w:b/>
          <w:bCs/>
          <w:color w:val="000000"/>
          <w:sz w:val="20"/>
        </w:rPr>
        <w:t>/s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 xml:space="preserve">interfejs: Ethernet 10/100 Base-T </w:t>
      </w:r>
      <w:proofErr w:type="spellStart"/>
      <w:r w:rsidRPr="004868BC">
        <w:rPr>
          <w:rFonts w:ascii="Verdana" w:hAnsi="Verdana"/>
          <w:b/>
          <w:bCs/>
          <w:color w:val="000000"/>
          <w:sz w:val="20"/>
        </w:rPr>
        <w:t>PoE</w:t>
      </w:r>
      <w:proofErr w:type="spellEnd"/>
      <w:r w:rsidRPr="004868BC">
        <w:rPr>
          <w:rFonts w:ascii="Verdana" w:hAnsi="Verdana"/>
          <w:b/>
          <w:bCs/>
          <w:color w:val="000000"/>
          <w:sz w:val="20"/>
        </w:rPr>
        <w:t xml:space="preserve"> 802.3af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kompresja: H.265+/ H.265/ H.264+/ H.264/ MJPEG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ilość pikseli: 4Mpx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 xml:space="preserve">czułość: 0.01 </w:t>
      </w:r>
      <w:proofErr w:type="spellStart"/>
      <w:r w:rsidRPr="004868BC">
        <w:rPr>
          <w:rFonts w:ascii="Verdana" w:hAnsi="Verdana"/>
          <w:b/>
          <w:bCs/>
          <w:color w:val="000000"/>
          <w:sz w:val="20"/>
        </w:rPr>
        <w:t>lux</w:t>
      </w:r>
      <w:proofErr w:type="spellEnd"/>
      <w:r w:rsidRPr="004868BC">
        <w:rPr>
          <w:rFonts w:ascii="Verdana" w:hAnsi="Verdana"/>
          <w:b/>
          <w:bCs/>
          <w:color w:val="000000"/>
          <w:sz w:val="20"/>
        </w:rPr>
        <w:t xml:space="preserve">/F1.2 (AGC ON), 0 </w:t>
      </w:r>
      <w:proofErr w:type="spellStart"/>
      <w:r w:rsidRPr="004868BC">
        <w:rPr>
          <w:rFonts w:ascii="Verdana" w:hAnsi="Verdana"/>
          <w:b/>
          <w:bCs/>
          <w:color w:val="000000"/>
          <w:sz w:val="20"/>
        </w:rPr>
        <w:t>lux</w:t>
      </w:r>
      <w:proofErr w:type="spellEnd"/>
      <w:r w:rsidRPr="004868BC">
        <w:rPr>
          <w:rFonts w:ascii="Verdana" w:hAnsi="Verdana"/>
          <w:b/>
          <w:bCs/>
          <w:color w:val="000000"/>
          <w:sz w:val="20"/>
        </w:rPr>
        <w:t xml:space="preserve"> (IR LED ON)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obiektyw: 2.8mm / F1.6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Promiennik podczerwieni (zasięg 30m)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AWB, AGC, BLC, HLC, 3D DNR, ROI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Szeroki zakres dynamiki: WDR 120dB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mechaniczny filtr podczerwieni ICR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zgodność ze standardami: ONVIF, ISAPI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 xml:space="preserve">zasilanie: 12V DC lub </w:t>
      </w:r>
      <w:proofErr w:type="spellStart"/>
      <w:r w:rsidRPr="004868BC">
        <w:rPr>
          <w:rFonts w:ascii="Verdana" w:hAnsi="Verdana"/>
          <w:b/>
          <w:bCs/>
          <w:color w:val="000000"/>
          <w:sz w:val="20"/>
        </w:rPr>
        <w:t>PoE</w:t>
      </w:r>
      <w:proofErr w:type="spellEnd"/>
      <w:r w:rsidRPr="004868BC">
        <w:rPr>
          <w:rFonts w:ascii="Verdana" w:hAnsi="Verdana"/>
          <w:b/>
          <w:bCs/>
          <w:color w:val="000000"/>
          <w:sz w:val="20"/>
        </w:rPr>
        <w:t xml:space="preserve"> 48V (802.3af)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Instalacje niskoprądowe, system VSS (nadzoru wizyjnego):Brak podanych wymagań dla kamery Typ 4. Prosimy o uzupełnienie.</w:t>
      </w:r>
      <w:r w:rsidRPr="004868BC">
        <w:rPr>
          <w:rFonts w:ascii="Verdana" w:hAnsi="Verdana"/>
          <w:b/>
          <w:sz w:val="20"/>
          <w:szCs w:val="20"/>
        </w:rPr>
        <w:t xml:space="preserve"> 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 xml:space="preserve">Odp.: </w:t>
      </w:r>
      <w:r w:rsidRPr="004868BC">
        <w:rPr>
          <w:rFonts w:ascii="Verdana" w:hAnsi="Verdana"/>
          <w:b/>
          <w:bCs/>
          <w:color w:val="000000"/>
          <w:sz w:val="20"/>
          <w:szCs w:val="20"/>
          <w:lang w:eastAsia="en-US"/>
        </w:rPr>
        <w:t>Minimalne wymagania dla kamery typ 4: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Rozmiar przetwornika: 1/2,5"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Czułość kamery: 0,028 Lux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Maksymalna rozdzielczość: 3840 x 2160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Kompresja wizji       H.265+/H.265/H.264+/H.264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Szeroki zakres dynamiki: WDR 120dB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Tor audio: Tak (Wbudowany mikrofon )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Kompresja audio      G.711/G.722.1/G.726/MP2L2/PCM/MP3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Ogniskowa obiektywu: 2,8 mm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lastRenderedPageBreak/>
        <w:t>Kąt obserwacji         H: 102°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Zasięg oświetlacza: 30 m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Kompensacja światła tylnego BLC, HLC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Wbudowana analiza obrazu: Tak (Przekroczenie linii, detekcja intruza, detekcja twarzy, detekcja sabotażu obrazu)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proofErr w:type="spellStart"/>
      <w:r w:rsidRPr="004868BC">
        <w:rPr>
          <w:rFonts w:ascii="Verdana" w:hAnsi="Verdana"/>
          <w:b/>
          <w:bCs/>
          <w:color w:val="000000"/>
          <w:sz w:val="20"/>
        </w:rPr>
        <w:t>PoE</w:t>
      </w:r>
      <w:proofErr w:type="spellEnd"/>
      <w:r w:rsidRPr="004868BC">
        <w:rPr>
          <w:rFonts w:ascii="Verdana" w:hAnsi="Verdana"/>
          <w:b/>
          <w:bCs/>
          <w:color w:val="000000"/>
          <w:sz w:val="20"/>
        </w:rPr>
        <w:t>: 802.3af klasa 3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Zasilanie DC: 12 V DC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zgodność ze standardami: ONVIF, ISAPI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Temperatura pracy: -30..60 °C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Regulacja położenia 360/75/360° (pan/</w:t>
      </w:r>
      <w:proofErr w:type="spellStart"/>
      <w:r w:rsidRPr="004868BC">
        <w:rPr>
          <w:rFonts w:ascii="Verdana" w:hAnsi="Verdana"/>
          <w:b/>
          <w:bCs/>
          <w:color w:val="000000"/>
          <w:sz w:val="20"/>
        </w:rPr>
        <w:t>tilt</w:t>
      </w:r>
      <w:proofErr w:type="spellEnd"/>
      <w:r w:rsidRPr="004868BC">
        <w:rPr>
          <w:rFonts w:ascii="Verdana" w:hAnsi="Verdana"/>
          <w:b/>
          <w:bCs/>
          <w:color w:val="000000"/>
          <w:sz w:val="20"/>
        </w:rPr>
        <w:t>/obrót)</w:t>
      </w:r>
    </w:p>
    <w:p w:rsidR="004868BC" w:rsidRPr="004868BC" w:rsidRDefault="004868BC" w:rsidP="004868BC">
      <w:pPr>
        <w:pStyle w:val="Tekstpodstawowy"/>
        <w:numPr>
          <w:ilvl w:val="0"/>
          <w:numId w:val="3"/>
        </w:numPr>
        <w:tabs>
          <w:tab w:val="left" w:pos="0"/>
        </w:tabs>
        <w:spacing w:line="240" w:lineRule="auto"/>
        <w:ind w:left="426" w:hanging="426"/>
        <w:jc w:val="left"/>
        <w:rPr>
          <w:rFonts w:ascii="Verdana" w:hAnsi="Verdana"/>
          <w:b/>
          <w:bCs/>
          <w:color w:val="000000"/>
          <w:sz w:val="20"/>
        </w:rPr>
      </w:pPr>
      <w:r w:rsidRPr="004868BC">
        <w:rPr>
          <w:rFonts w:ascii="Verdana" w:hAnsi="Verdana"/>
          <w:b/>
          <w:bCs/>
          <w:color w:val="000000"/>
          <w:sz w:val="20"/>
        </w:rPr>
        <w:t>Stopień ochrony obudowy: IP66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Instalacje niskoprądowe, system zarządzania szlabanami. Projekt wymaga kompatybilności systemu szlabanów z istniejącym systemem wjazdów/wyjazdów  w AGH. Prosimy o podanie nazwy producenta systemu eksploatowanego obecnie w AGH.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Odpowiedzi udzielono w dokumencie „O</w:t>
      </w:r>
      <w:r w:rsidRPr="004868BC">
        <w:rPr>
          <w:rFonts w:ascii="Verdana" w:hAnsi="Verdana"/>
          <w:b/>
          <w:bCs/>
          <w:color w:val="000000"/>
          <w:sz w:val="20"/>
          <w:szCs w:val="20"/>
        </w:rPr>
        <w:t>dpowiedź na zapytania w sprawie SIWZ nr 28”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 xml:space="preserve">Zamawiający wymaga aby wykonawca wykonał integrację w zakresie podłączenie do istniejącego systemu szlabanów wjazdowych oraz systemu odczytu tablic rejestracyjnych: System wjazdów na Hali Sportowej ma być podłączony do istniejącego systemu na terenie AGH: KINGPARKING wersja 2020.1 oprogramowania TM Control, </w:t>
      </w:r>
      <w:proofErr w:type="spellStart"/>
      <w:r w:rsidRPr="004868BC">
        <w:rPr>
          <w:rFonts w:ascii="Verdana" w:hAnsi="Verdana"/>
          <w:b/>
          <w:bCs/>
          <w:sz w:val="20"/>
          <w:szCs w:val="20"/>
        </w:rPr>
        <w:t>ParkConf</w:t>
      </w:r>
      <w:proofErr w:type="spellEnd"/>
      <w:r w:rsidRPr="004868BC">
        <w:rPr>
          <w:rFonts w:ascii="Verdana" w:hAnsi="Verdana"/>
          <w:b/>
          <w:bCs/>
          <w:sz w:val="20"/>
          <w:szCs w:val="20"/>
        </w:rPr>
        <w:t xml:space="preserve">, </w:t>
      </w:r>
      <w:proofErr w:type="spellStart"/>
      <w:r w:rsidRPr="004868BC">
        <w:rPr>
          <w:rFonts w:ascii="Verdana" w:hAnsi="Verdana"/>
          <w:b/>
          <w:bCs/>
          <w:sz w:val="20"/>
          <w:szCs w:val="20"/>
        </w:rPr>
        <w:t>Flexmon</w:t>
      </w:r>
      <w:proofErr w:type="spellEnd"/>
      <w:r w:rsidRPr="004868BC">
        <w:rPr>
          <w:rFonts w:ascii="Verdana" w:hAnsi="Verdana"/>
          <w:b/>
          <w:bCs/>
          <w:sz w:val="20"/>
          <w:szCs w:val="20"/>
        </w:rPr>
        <w:t xml:space="preserve"> i </w:t>
      </w:r>
      <w:proofErr w:type="spellStart"/>
      <w:r w:rsidRPr="004868BC">
        <w:rPr>
          <w:rFonts w:ascii="Verdana" w:hAnsi="Verdana"/>
          <w:b/>
          <w:bCs/>
          <w:sz w:val="20"/>
          <w:szCs w:val="20"/>
        </w:rPr>
        <w:t>Flexbi</w:t>
      </w:r>
      <w:proofErr w:type="spellEnd"/>
      <w:r w:rsidRPr="004868BC">
        <w:rPr>
          <w:rFonts w:ascii="Verdana" w:hAnsi="Verdana"/>
          <w:b/>
          <w:bCs/>
          <w:sz w:val="20"/>
          <w:szCs w:val="20"/>
        </w:rPr>
        <w:t>, odczyt kamer jest realizowany na systemie ARH który ten jest też zintegrowanym z KINGPARKING.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bCs/>
          <w:sz w:val="20"/>
          <w:szCs w:val="20"/>
        </w:rPr>
      </w:pP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 xml:space="preserve">Systemy wjazdów jest objęty gwarancją w związku z tym zamawiający wymaga aby prace związane z integracją zostały wykonane w uzgodnieniu z firmą serwisową Delta </w:t>
      </w:r>
      <w:proofErr w:type="spellStart"/>
      <w:r w:rsidRPr="004868BC">
        <w:rPr>
          <w:rFonts w:ascii="Verdana" w:hAnsi="Verdana"/>
          <w:b/>
          <w:bCs/>
          <w:sz w:val="20"/>
          <w:szCs w:val="20"/>
        </w:rPr>
        <w:t>Defence</w:t>
      </w:r>
      <w:proofErr w:type="spellEnd"/>
      <w:r w:rsidRPr="004868BC">
        <w:rPr>
          <w:rFonts w:ascii="Verdana" w:hAnsi="Verdana"/>
          <w:b/>
          <w:bCs/>
          <w:sz w:val="20"/>
          <w:szCs w:val="20"/>
        </w:rPr>
        <w:t xml:space="preserve"> Poland Sp. z o. o. Bielsko-Biała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bCs/>
          <w:sz w:val="20"/>
          <w:szCs w:val="20"/>
        </w:rPr>
      </w:pP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>Zamawiający wymaga aby system szlabanów wjazdowych (każdy wjazd) był wyposażony w:</w:t>
      </w: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 xml:space="preserve">* terminal odczytu kart </w:t>
      </w:r>
      <w:proofErr w:type="spellStart"/>
      <w:r w:rsidRPr="004868BC">
        <w:rPr>
          <w:rFonts w:ascii="Verdana" w:hAnsi="Verdana"/>
          <w:b/>
          <w:bCs/>
          <w:sz w:val="20"/>
          <w:szCs w:val="20"/>
        </w:rPr>
        <w:t>MiFare</w:t>
      </w:r>
      <w:proofErr w:type="spellEnd"/>
      <w:r w:rsidRPr="004868BC">
        <w:rPr>
          <w:rFonts w:ascii="Verdana" w:hAnsi="Verdana"/>
          <w:b/>
          <w:bCs/>
          <w:sz w:val="20"/>
          <w:szCs w:val="20"/>
        </w:rPr>
        <w:t xml:space="preserve"> (z wyświetlaczem) wjazd i wyjazd,</w:t>
      </w: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>* kamerę do odczytu tablic rejestracyjnych (wjazd i wyjazd),</w:t>
      </w: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>* domofon IP (spięty z systemem wjazdowym posiadanym na uczelni),</w:t>
      </w: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>* pętlę indukcyjną - 3 sztuki dla każdego szlabanu (przed, pod szlabanem, za szlabanem).</w:t>
      </w: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>* szlaban wraz z silnikiem/siłownikiem do otwierania zamykania.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Proszę o informację na jaką szerokość rysy liczona jest płyta denna. W przypadku szerokości rysy 0,3 mm proszę o potwierdzenie, że pod płytą denną nie musi występować izolacja ciężka.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lastRenderedPageBreak/>
        <w:t>Odp.: Płyta była liczona na szerokość rysy 0,3. Pod płytą denną jest projektowana izolacja przeciwwodna – zgodnie z opisem architektury.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Dot. balustrad zewnętrznych i wewnętrznych - prosimy o potwierdzenie, że zaprojektowane balustrady spełniają warunki statyczne i  wymagania wg ich przeznaczenia.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 xml:space="preserve">Odp.: Balustrady zostały zweryfikowane pod względem statyczności i spełniają graniczne stany nośności i graniczne stany użytkowania. Zgodnie z opisem architektonicznym balustrady trybun muszą spełniać wymagania jak dla balustrad gdzie </w:t>
      </w:r>
      <w:r w:rsidRPr="004868BC">
        <w:rPr>
          <w:rFonts w:ascii="Verdana" w:hAnsi="Verdana"/>
          <w:b/>
          <w:bCs/>
          <w:sz w:val="20"/>
          <w:szCs w:val="20"/>
        </w:rPr>
        <w:t>występuje zjawisko zagrożenia naporem tłumu:</w:t>
      </w: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 xml:space="preserve">Ekspozycja na duże obciążenia - min. 3,0 </w:t>
      </w:r>
      <w:proofErr w:type="spellStart"/>
      <w:r w:rsidRPr="004868BC">
        <w:rPr>
          <w:rFonts w:ascii="Verdana" w:hAnsi="Verdana"/>
          <w:b/>
          <w:bCs/>
          <w:sz w:val="20"/>
          <w:szCs w:val="20"/>
        </w:rPr>
        <w:t>kN</w:t>
      </w:r>
      <w:proofErr w:type="spellEnd"/>
      <w:r w:rsidRPr="004868BC">
        <w:rPr>
          <w:rFonts w:ascii="Verdana" w:hAnsi="Verdana"/>
          <w:b/>
          <w:bCs/>
          <w:sz w:val="20"/>
          <w:szCs w:val="20"/>
        </w:rPr>
        <w:t xml:space="preserve"> (grupa C5 kategorii obciążonych powierzchni wg PN-EN 1991-1-1.</w:t>
      </w:r>
    </w:p>
    <w:p w:rsidR="004868BC" w:rsidRPr="004868BC" w:rsidRDefault="004868BC" w:rsidP="004868BC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4868BC">
        <w:rPr>
          <w:rFonts w:ascii="Verdana" w:hAnsi="Verdana"/>
          <w:b/>
          <w:bCs/>
          <w:sz w:val="20"/>
          <w:szCs w:val="20"/>
        </w:rPr>
        <w:t>Na etapie realizacji Wykonawca powinien przedstawić materiały i rysunki warsztatowe wybranego systemu (w szczególności balustrad trybun) do weryfikacji.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Dot. fasady aluminiowej. Pozycja O8** - szyby mają wymiar 2700x1620mm, niestety aprobata producenta stolarki aluminiowej nie przewiduje wykonania szklenia o takich wymiarach (maksymalny wymiar szkła to 1500x3000 dla EI60). Podobnie w przypadku fasady ppoż. " ZESTAWIENIE ŚCIANY OSŁONOWEJ" gdzie wymiar szyby to 1100x3480 mm (również przekroczony). Prosimy o aktualizację projektu uwzględniającą powyższe obostrzenia.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W poniższym linku skorygowany rysunek A-21 (wysokość przeszkleń nie przekracza 3000mm)</w:t>
      </w:r>
    </w:p>
    <w:p w:rsidR="004868BC" w:rsidRPr="004868BC" w:rsidRDefault="004868BC" w:rsidP="004868BC">
      <w:pPr>
        <w:ind w:left="426"/>
        <w:contextualSpacing/>
        <w:jc w:val="both"/>
        <w:rPr>
          <w:rFonts w:ascii="Verdana" w:hAnsi="Verdana"/>
          <w:b/>
          <w:bCs/>
        </w:rPr>
      </w:pPr>
      <w:r w:rsidRPr="004868BC">
        <w:rPr>
          <w:rFonts w:ascii="Verdana" w:hAnsi="Verdana"/>
          <w:b/>
          <w:bCs/>
        </w:rPr>
        <w:t>Natomiast jeśli chodzi o okno O8**, zgodnie z posiadanymi przez nas informacjami  -maksymalne wymiary liniowe tafli szklanej:</w:t>
      </w:r>
    </w:p>
    <w:p w:rsidR="004868BC" w:rsidRPr="004868BC" w:rsidRDefault="004868BC" w:rsidP="004868BC">
      <w:pPr>
        <w:ind w:left="426"/>
        <w:rPr>
          <w:rFonts w:ascii="Verdana" w:hAnsi="Verdana"/>
          <w:b/>
          <w:bCs/>
        </w:rPr>
      </w:pPr>
      <w:r w:rsidRPr="004868BC">
        <w:rPr>
          <w:rFonts w:ascii="Verdana" w:hAnsi="Verdana"/>
          <w:b/>
          <w:bCs/>
        </w:rPr>
        <w:t>1. w układzie pionowym w x h = 1800mm x 3600mm A=5,445m2; w układzie poziomym w x h = 3120mm x 1800mm A=4,72m2 przy zastosowaniu szyby o gr. 23mm ze szkła ognioochronnego</w:t>
      </w:r>
    </w:p>
    <w:p w:rsidR="004868BC" w:rsidRPr="004868BC" w:rsidRDefault="004868BC" w:rsidP="004868BC">
      <w:pPr>
        <w:ind w:left="426"/>
        <w:rPr>
          <w:rFonts w:ascii="Verdana" w:hAnsi="Verdana"/>
          <w:b/>
          <w:bCs/>
        </w:rPr>
      </w:pPr>
      <w:r w:rsidRPr="004868BC">
        <w:rPr>
          <w:rFonts w:ascii="Verdana" w:hAnsi="Verdana"/>
          <w:b/>
          <w:bCs/>
        </w:rPr>
        <w:t>2. w układzie pionowym s x h = 1800mm x 3600mm; w układzie poziomym w x h = 2779mm x 1800mm przy zastosowaniu szyby o gr. 16mm ze szkła ognioodpornego</w:t>
      </w:r>
    </w:p>
    <w:p w:rsidR="004868BC" w:rsidRPr="004868BC" w:rsidRDefault="004A09C2" w:rsidP="004868BC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hyperlink r:id="rId9" w:history="1">
        <w:r w:rsidR="004868BC" w:rsidRPr="004868BC">
          <w:rPr>
            <w:rStyle w:val="Hipercze"/>
            <w:rFonts w:ascii="Verdana" w:hAnsi="Verdana"/>
            <w:b/>
            <w:sz w:val="20"/>
            <w:szCs w:val="20"/>
          </w:rPr>
          <w:t>http://di.adm.agh.edu.pl/public/mendyk/HS/A-21_AGH_Z_S_OSL_ZEW.pdf</w:t>
        </w:r>
      </w:hyperlink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Jakie są wymagania pod konstrukcję ścianki wspinaczkowej? Kiedy będzie ona montowana?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Zaprojektowana ściana żelbetowa jest wystarczająca dla montażu na niej ścianek wspinaczkowych, nie jest wymagana żadna dodatkowa podkonstrukcja do wykonania (zawarcia w ofercie). Zamawiający na chwilę obecną nie jest w stanie podać terminu montażu.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lastRenderedPageBreak/>
        <w:t>Przez jaki czas projektant konstrukcji przyjął ciągłe pompowanie wody?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 xml:space="preserve">Odp.: </w:t>
      </w:r>
      <w:r w:rsidRPr="004868BC">
        <w:rPr>
          <w:rFonts w:ascii="Verdana" w:eastAsia="Calibri" w:hAnsi="Verdana"/>
          <w:b/>
          <w:bCs/>
          <w:color w:val="222222"/>
          <w:sz w:val="20"/>
          <w:szCs w:val="20"/>
          <w:lang w:eastAsia="en-US"/>
        </w:rPr>
        <w:t xml:space="preserve">Przy obecnym układzie </w:t>
      </w:r>
      <w:proofErr w:type="spellStart"/>
      <w:r w:rsidRPr="004868BC">
        <w:rPr>
          <w:rFonts w:ascii="Verdana" w:eastAsia="Calibri" w:hAnsi="Verdana"/>
          <w:b/>
          <w:bCs/>
          <w:color w:val="222222"/>
          <w:sz w:val="20"/>
          <w:szCs w:val="20"/>
          <w:lang w:eastAsia="en-US"/>
        </w:rPr>
        <w:t>mikropali</w:t>
      </w:r>
      <w:proofErr w:type="spellEnd"/>
      <w:r w:rsidRPr="004868BC">
        <w:rPr>
          <w:rFonts w:ascii="Verdana" w:eastAsia="Calibri" w:hAnsi="Verdana"/>
          <w:b/>
          <w:bCs/>
          <w:color w:val="222222"/>
          <w:sz w:val="20"/>
          <w:szCs w:val="20"/>
          <w:lang w:eastAsia="en-US"/>
        </w:rPr>
        <w:t xml:space="preserve"> pompowanie można przerwać po zakończeniu robót żelbetowych dla całego budynku.  Projektant dopuszcza  (po weryfikacji przedstawionego przez Wykonawcę projektu warsztatowego) zmodyfikowanie układu </w:t>
      </w:r>
      <w:proofErr w:type="spellStart"/>
      <w:r w:rsidRPr="004868BC">
        <w:rPr>
          <w:rFonts w:ascii="Verdana" w:eastAsia="Calibri" w:hAnsi="Verdana"/>
          <w:b/>
          <w:bCs/>
          <w:color w:val="222222"/>
          <w:sz w:val="20"/>
          <w:szCs w:val="20"/>
          <w:lang w:eastAsia="en-US"/>
        </w:rPr>
        <w:t>mikropali</w:t>
      </w:r>
      <w:proofErr w:type="spellEnd"/>
      <w:r w:rsidRPr="004868BC">
        <w:rPr>
          <w:rFonts w:ascii="Verdana" w:eastAsia="Calibri" w:hAnsi="Verdana"/>
          <w:b/>
          <w:bCs/>
          <w:color w:val="222222"/>
          <w:sz w:val="20"/>
          <w:szCs w:val="20"/>
          <w:lang w:eastAsia="en-US"/>
        </w:rPr>
        <w:t xml:space="preserve"> do takiego, który pozwoli na wcześniejsze przerwanie pompowania.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W związku z odpowiedziami na pytania w sprawie SIWZ (6) z dn. 2020.07.15 oraz udzieloną odpowiedzią nr 21 z tego zestawu, prosimy o jednoznaczne określenie zestawienia elementów systemu parkingowego tj. ilość szlabanów, ilość terminali wjazdowych / wyjazdowych, pętli indukcyjnych , domofonów itp. Jednocześnie zwracamy uwagę, iż w opisie technicznym podano parametr  czasu otwierania / zamykania szlabanu 1 sek. (dla ramienia 3m), który to parametr przy zastosowaniu szlabanów z ramieniem 5m i/lub 6m  jest nieosiągalny. Prosimy o jednoznaczne określenie parametrów urządzeń.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>Odp.: Parametr czasu otwierania / zamykania szlabanu został podany dla ramienia 3m – dla ramienia dłuższego należy go odpowiednio wydłużyć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Zamawiający wymaga aby system szlabanów wjazdowych (każdy wjazd) był wyposażony w: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 xml:space="preserve">* terminal odczytu kart </w:t>
      </w:r>
      <w:proofErr w:type="spellStart"/>
      <w:r w:rsidRPr="004868BC">
        <w:rPr>
          <w:rFonts w:ascii="Verdana" w:hAnsi="Verdana"/>
          <w:b/>
          <w:bCs/>
          <w:sz w:val="20"/>
        </w:rPr>
        <w:t>MiFare</w:t>
      </w:r>
      <w:proofErr w:type="spellEnd"/>
      <w:r w:rsidRPr="004868BC">
        <w:rPr>
          <w:rFonts w:ascii="Verdana" w:hAnsi="Verdana"/>
          <w:b/>
          <w:bCs/>
          <w:sz w:val="20"/>
        </w:rPr>
        <w:t xml:space="preserve"> (z wyświetlaczem wjazd i wyjazd),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* kamerę do odczytu tablic rejestracyjnych (wjazd i wyjazd),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* domofon IP (spięty z systemem wjazdowym posiadanym na uczelni),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* szlaban wraz z silnikiem/siłownikiem do otwierania zamykania. 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* pętlę indukcyjną - 3 sztuki dla każdego szlabanu (przed szlabanem, pod szlabanem, za szlabanem).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>* pozostałe elementy wg. projektu.</w:t>
      </w:r>
    </w:p>
    <w:p w:rsidR="004868BC" w:rsidRPr="004868BC" w:rsidRDefault="004868BC" w:rsidP="004868BC">
      <w:pPr>
        <w:pStyle w:val="Tekstpodstawowy"/>
        <w:spacing w:line="240" w:lineRule="auto"/>
        <w:ind w:left="426"/>
        <w:rPr>
          <w:rFonts w:ascii="Verdana" w:hAnsi="Verdana"/>
          <w:b/>
          <w:bCs/>
          <w:sz w:val="20"/>
        </w:rPr>
      </w:pPr>
      <w:r w:rsidRPr="004868BC">
        <w:rPr>
          <w:rFonts w:ascii="Verdana" w:hAnsi="Verdana"/>
          <w:b/>
          <w:bCs/>
          <w:sz w:val="20"/>
        </w:rPr>
        <w:t xml:space="preserve">Zamawiający wymaga aby została wykonana integracja w zakresie podłączenie do istniejącego systemu szlabanów wjazdowych oraz systemu odczytu tablic rejestracyjnych: System wjazdów na Hali Sportowej ma być podłączony do istniejącego systemu na terenie AGH: KINGPARKING wersja 2020.1 oprogramowania TM Control, </w:t>
      </w:r>
      <w:proofErr w:type="spellStart"/>
      <w:r w:rsidRPr="004868BC">
        <w:rPr>
          <w:rFonts w:ascii="Verdana" w:hAnsi="Verdana"/>
          <w:b/>
          <w:bCs/>
          <w:sz w:val="20"/>
        </w:rPr>
        <w:t>ParkConf</w:t>
      </w:r>
      <w:proofErr w:type="spellEnd"/>
      <w:r w:rsidRPr="004868BC">
        <w:rPr>
          <w:rFonts w:ascii="Verdana" w:hAnsi="Verdana"/>
          <w:b/>
          <w:bCs/>
          <w:sz w:val="20"/>
        </w:rPr>
        <w:t xml:space="preserve">, </w:t>
      </w:r>
      <w:proofErr w:type="spellStart"/>
      <w:r w:rsidRPr="004868BC">
        <w:rPr>
          <w:rFonts w:ascii="Verdana" w:hAnsi="Verdana"/>
          <w:b/>
          <w:bCs/>
          <w:sz w:val="20"/>
        </w:rPr>
        <w:t>Flexmon</w:t>
      </w:r>
      <w:proofErr w:type="spellEnd"/>
      <w:r w:rsidRPr="004868BC">
        <w:rPr>
          <w:rFonts w:ascii="Verdana" w:hAnsi="Verdana"/>
          <w:b/>
          <w:bCs/>
          <w:sz w:val="20"/>
        </w:rPr>
        <w:t xml:space="preserve"> i </w:t>
      </w:r>
      <w:proofErr w:type="spellStart"/>
      <w:r w:rsidRPr="004868BC">
        <w:rPr>
          <w:rFonts w:ascii="Verdana" w:hAnsi="Verdana"/>
          <w:b/>
          <w:bCs/>
          <w:sz w:val="20"/>
        </w:rPr>
        <w:t>Flexbi</w:t>
      </w:r>
      <w:proofErr w:type="spellEnd"/>
      <w:r w:rsidRPr="004868BC">
        <w:rPr>
          <w:rFonts w:ascii="Verdana" w:hAnsi="Verdana"/>
          <w:b/>
          <w:bCs/>
          <w:sz w:val="20"/>
        </w:rPr>
        <w:t>, odczyt kamer jest realizowany na systemie ARH który ten jest też zintegrowanym z KINGPARKING.</w:t>
      </w:r>
    </w:p>
    <w:p w:rsidR="004868BC" w:rsidRPr="004868BC" w:rsidRDefault="004868BC" w:rsidP="004868BC">
      <w:pPr>
        <w:pStyle w:val="Tekstpodstawowy"/>
        <w:spacing w:line="240" w:lineRule="auto"/>
        <w:ind w:left="426" w:hanging="426"/>
        <w:rPr>
          <w:rFonts w:ascii="Verdana" w:hAnsi="Verdana"/>
          <w:b/>
          <w:bCs/>
          <w:color w:val="000000"/>
          <w:sz w:val="20"/>
        </w:rPr>
      </w:pPr>
    </w:p>
    <w:p w:rsidR="004868BC" w:rsidRPr="004868BC" w:rsidRDefault="004868BC" w:rsidP="004868BC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Prosimy o potwierdzenie, że wykończenie ścian :</w:t>
      </w:r>
    </w:p>
    <w:p w:rsidR="004868BC" w:rsidRPr="004868BC" w:rsidRDefault="004868BC" w:rsidP="004868BC">
      <w:pPr>
        <w:ind w:left="426" w:hanging="426"/>
        <w:jc w:val="both"/>
        <w:rPr>
          <w:rFonts w:ascii="Verdana" w:hAnsi="Verdana"/>
        </w:rPr>
      </w:pPr>
      <w:r w:rsidRPr="004868BC">
        <w:rPr>
          <w:rFonts w:ascii="Verdana" w:hAnsi="Verdana"/>
        </w:rPr>
        <w:t xml:space="preserve">- tynk gipsowy B7/50/6 wg EN 13279-1 </w:t>
      </w:r>
    </w:p>
    <w:p w:rsidR="004868BC" w:rsidRPr="004868BC" w:rsidRDefault="004868BC" w:rsidP="004868BC">
      <w:pPr>
        <w:ind w:left="426" w:hanging="426"/>
        <w:jc w:val="both"/>
        <w:rPr>
          <w:rFonts w:ascii="Verdana" w:hAnsi="Verdana"/>
        </w:rPr>
      </w:pPr>
      <w:r w:rsidRPr="004868BC">
        <w:rPr>
          <w:rFonts w:ascii="Verdana" w:hAnsi="Verdana"/>
        </w:rPr>
        <w:t>- malowanie tynku</w:t>
      </w:r>
    </w:p>
    <w:p w:rsidR="004868BC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sz w:val="20"/>
          <w:szCs w:val="20"/>
        </w:rPr>
        <w:t>stanowi pożądany efekt końcowy i nie należy wykonywać gładzi.</w:t>
      </w:r>
    </w:p>
    <w:p w:rsidR="00943AEF" w:rsidRPr="004868BC" w:rsidRDefault="004868BC" w:rsidP="004868BC">
      <w:pPr>
        <w:pStyle w:val="Akapitzlist"/>
        <w:ind w:left="426" w:hanging="426"/>
        <w:jc w:val="both"/>
        <w:rPr>
          <w:rFonts w:ascii="Verdana" w:hAnsi="Verdana"/>
          <w:sz w:val="20"/>
          <w:szCs w:val="20"/>
        </w:rPr>
      </w:pPr>
      <w:r w:rsidRPr="004868BC">
        <w:rPr>
          <w:rFonts w:ascii="Verdana" w:hAnsi="Verdana"/>
          <w:b/>
          <w:sz w:val="20"/>
          <w:szCs w:val="20"/>
        </w:rPr>
        <w:t xml:space="preserve">Odp.: W przypadku starannego nałożenia tynku gipsowego, tak, aby nie było chropowatości i nierówności powierzchni, można </w:t>
      </w:r>
      <w:r w:rsidRPr="004868BC">
        <w:rPr>
          <w:rFonts w:ascii="Verdana" w:hAnsi="Verdana"/>
          <w:b/>
          <w:sz w:val="20"/>
          <w:szCs w:val="20"/>
        </w:rPr>
        <w:lastRenderedPageBreak/>
        <w:t>zrezygnować z wykonania gładzi. Również przy stosowaniu pustaków silikatowych lub betonowych z pełną spoiną można zrezygnować z wykonania tynku – wystarczająca będzie gładź gipsowa, a następnie malowanie.</w:t>
      </w:r>
    </w:p>
    <w:sectPr w:rsidR="00943AEF" w:rsidRPr="004868BC" w:rsidSect="00347E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4DD" w:rsidRDefault="00C354DD">
      <w:r>
        <w:separator/>
      </w:r>
    </w:p>
  </w:endnote>
  <w:endnote w:type="continuationSeparator" w:id="0">
    <w:p w:rsidR="00C354DD" w:rsidRDefault="00C35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mbria"/>
    <w:charset w:val="02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4DD" w:rsidRDefault="00C354DD">
      <w:r>
        <w:separator/>
      </w:r>
    </w:p>
  </w:footnote>
  <w:footnote w:type="continuationSeparator" w:id="0">
    <w:p w:rsidR="00C354DD" w:rsidRDefault="00C35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A09C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A09C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B2E01"/>
    <w:multiLevelType w:val="hybridMultilevel"/>
    <w:tmpl w:val="1CE84DE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1622871"/>
    <w:multiLevelType w:val="multilevel"/>
    <w:tmpl w:val="3A74CCBC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7C2B57"/>
    <w:multiLevelType w:val="multilevel"/>
    <w:tmpl w:val="E982DE3E"/>
    <w:lvl w:ilvl="0">
      <w:start w:val="1"/>
      <w:numFmt w:val="bullet"/>
      <w:lvlText w:val=""/>
      <w:lvlJc w:val="left"/>
      <w:pPr>
        <w:ind w:left="707" w:firstLine="0"/>
      </w:pPr>
      <w:rPr>
        <w:rFonts w:ascii="Symbol" w:hAnsi="Symbol" w:cs="OpenSymbol" w:hint="default"/>
        <w:b/>
        <w:sz w:val="2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4DD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868BC"/>
    <w:rsid w:val="004A09C2"/>
    <w:rsid w:val="00542F2E"/>
    <w:rsid w:val="005A7BE4"/>
    <w:rsid w:val="0061472E"/>
    <w:rsid w:val="006D77F8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38FD"/>
    <w:rsid w:val="00BA48E1"/>
    <w:rsid w:val="00C354DD"/>
    <w:rsid w:val="00C529DB"/>
    <w:rsid w:val="00C914F4"/>
    <w:rsid w:val="00CA338E"/>
    <w:rsid w:val="00CB1285"/>
    <w:rsid w:val="00CF3A86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  <w14:docId w14:val="0A118E38"/>
  <w15:chartTrackingRefBased/>
  <w15:docId w15:val="{BE8C0A56-406D-4FE3-B8F1-81B0E5AA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A38FD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BA38FD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rsid w:val="00BA38FD"/>
  </w:style>
  <w:style w:type="character" w:customStyle="1" w:styleId="Tekstpodstawowywcity3Znak">
    <w:name w:val="Tekst podstawowy wcięty 3 Znak"/>
    <w:link w:val="Tekstpodstawowywcity3"/>
    <w:rsid w:val="00BA38FD"/>
    <w:rPr>
      <w:sz w:val="26"/>
    </w:rPr>
  </w:style>
  <w:style w:type="character" w:customStyle="1" w:styleId="AkapitzlistZnak">
    <w:name w:val="Akapit z listą Znak"/>
    <w:link w:val="Akapitzlist"/>
    <w:uiPriority w:val="34"/>
    <w:qFormat/>
    <w:locked/>
    <w:rsid w:val="004868B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868BC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9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9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3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A-21_AGH_Z_S_OSL_ZEW.pd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A-47w_korekta.pdf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ublic/mendyk/HS/A-21_AGH_Z_S_OSL_ZEW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9</Pages>
  <Words>2281</Words>
  <Characters>14693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2020-08-20T06:51:00Z</cp:lastPrinted>
  <dcterms:created xsi:type="dcterms:W3CDTF">2020-08-20T06:17:00Z</dcterms:created>
  <dcterms:modified xsi:type="dcterms:W3CDTF">2020-08-20T06:52:00Z</dcterms:modified>
</cp:coreProperties>
</file>