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CFF" w:rsidRPr="00315D72" w:rsidRDefault="00C16CFF" w:rsidP="00C16CFF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E64186">
        <w:rPr>
          <w:rFonts w:ascii="Verdana" w:hAnsi="Verdana"/>
          <w:sz w:val="16"/>
          <w:szCs w:val="16"/>
        </w:rPr>
        <w:t>KCzp.272-255/20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E64186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E64186">
        <w:rPr>
          <w:rFonts w:ascii="Verdana" w:hAnsi="Verdana"/>
          <w:sz w:val="16"/>
          <w:szCs w:val="16"/>
        </w:rPr>
        <w:t>2020-08-</w:t>
      </w:r>
      <w:r>
        <w:rPr>
          <w:rFonts w:ascii="Verdana" w:hAnsi="Verdana"/>
          <w:sz w:val="16"/>
          <w:szCs w:val="16"/>
        </w:rPr>
        <w:t>20</w:t>
      </w:r>
    </w:p>
    <w:p w:rsidR="00C16CFF" w:rsidRPr="00315D72" w:rsidRDefault="00C16CFF" w:rsidP="00C16CFF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C16CFF" w:rsidRPr="00315D72" w:rsidRDefault="00C16CFF" w:rsidP="00C16CF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C16CFF" w:rsidRPr="00315D72" w:rsidRDefault="00C16CFF" w:rsidP="00C16CF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C16CFF" w:rsidRPr="00315D72" w:rsidRDefault="00C16CFF" w:rsidP="00C16CFF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(48)</w:t>
      </w:r>
    </w:p>
    <w:p w:rsidR="00C16CFF" w:rsidRPr="00315D72" w:rsidRDefault="00C16CFF" w:rsidP="00C16CFF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C16CFF" w:rsidRPr="000A0372" w:rsidRDefault="00C16CFF" w:rsidP="000A03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A0372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0A0372">
        <w:rPr>
          <w:rFonts w:ascii="Verdana" w:hAnsi="Verdana"/>
          <w:b/>
          <w:sz w:val="20"/>
        </w:rPr>
        <w:t>przetarg nieograniczony”,</w:t>
      </w:r>
      <w:r w:rsidRPr="000A0372">
        <w:rPr>
          <w:rFonts w:ascii="Verdana" w:hAnsi="Verdana"/>
          <w:sz w:val="20"/>
        </w:rPr>
        <w:t xml:space="preserve"> którego przedmiotem jest </w:t>
      </w:r>
      <w:r w:rsidRPr="000A0372">
        <w:rPr>
          <w:rFonts w:ascii="Verdana" w:hAnsi="Verdana"/>
          <w:b/>
          <w:sz w:val="20"/>
        </w:rPr>
        <w:t xml:space="preserve">Budowa wielofunkcyjnej Hali Sportowej AGH w Krakowie. </w:t>
      </w:r>
      <w:r w:rsidRPr="000A0372">
        <w:rPr>
          <w:rFonts w:ascii="Verdana" w:hAnsi="Verdana"/>
          <w:b/>
          <w:sz w:val="20"/>
        </w:rPr>
        <w:br/>
        <w:t>KC-zp.272-255/20.</w:t>
      </w:r>
    </w:p>
    <w:p w:rsidR="00C16CFF" w:rsidRPr="000A0372" w:rsidRDefault="00C16CFF" w:rsidP="000A0372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C16CFF" w:rsidRPr="000A0372" w:rsidRDefault="00C16CFF" w:rsidP="000A03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0A0372">
        <w:rPr>
          <w:rFonts w:ascii="Verdana" w:hAnsi="Verdana"/>
          <w:b/>
          <w:sz w:val="20"/>
          <w:u w:val="single"/>
        </w:rPr>
        <w:t>Treść zapytań i odpowiedzi brzmi następująco: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Pyt. 1: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Dotyczy - projekt instalacji niskoprądowych CCTV, kamera typ 1 i 2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Czy zamawiający dopuszcza zastosowanie innej wielkości przetwornika przy założeniu spełnienia parametru oczekiwanej rozdzielczości? Rozmiar przetwornika zwykle jest zależny od dostawcy, z którym pracuje specyficzny producent kamer. Przy zachowani</w:t>
      </w:r>
      <w:bookmarkStart w:id="0" w:name="_GoBack"/>
      <w:bookmarkEnd w:id="0"/>
      <w:r w:rsidRPr="000A0372">
        <w:rPr>
          <w:rFonts w:ascii="Verdana" w:hAnsi="Verdana"/>
          <w:color w:val="00000A"/>
        </w:rPr>
        <w:t>u innych parametrów, wielkość przetwornika nie ma realnego wpływu na jakość obrazu.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Prosimy o zgodę za zastosowanie kamer o innej niż podanej w projekcie wielkości przetwornika, przy założeniu zachowania wymaganej jakości obrazu.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b/>
          <w:color w:val="00000A"/>
        </w:rPr>
        <w:t xml:space="preserve">Odp.: </w:t>
      </w:r>
      <w:bookmarkStart w:id="1" w:name="_Hlk48661087"/>
      <w:r w:rsidRPr="000A0372">
        <w:rPr>
          <w:rFonts w:ascii="Verdana" w:hAnsi="Verdana"/>
          <w:b/>
          <w:bCs/>
          <w:color w:val="000000"/>
        </w:rPr>
        <w:t>Zamawiający dopuszcza inną wielkość przetwornika przy zachowaniu wymaganej jakości obrazu.</w:t>
      </w:r>
      <w:bookmarkEnd w:id="1"/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Pyt. 2: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Dotyczy - projekt instalacji niskoprądowych CCTV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lastRenderedPageBreak/>
        <w:t>Czy zamawiający dopuszcza zastosowanie kamer z obiektywem o innym zakresie długości niż opisanym w wymogach? Kombinacja parametrów obiektywów jednoznacznie wskazuje na jednego dostawcę. Przy zachowaniu odpowiedniego pokrycia terenu kamerami, nie ma konieczności korzystania ze skrajnych ustawień obiektywów.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Prosimy o zgodę na zastosowanie obiektywów o innej długości niż wskazanych w postępowaniu, ale zapewniające założone projektem kąty i obszary widzenia poszczególnych kamer.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b/>
          <w:color w:val="00000A"/>
        </w:rPr>
        <w:t xml:space="preserve">Odp.: </w:t>
      </w:r>
      <w:r w:rsidRPr="000A0372">
        <w:rPr>
          <w:rFonts w:ascii="Verdana" w:hAnsi="Verdana"/>
          <w:b/>
          <w:bCs/>
          <w:color w:val="000000"/>
        </w:rPr>
        <w:t xml:space="preserve">Zamawiający dopuszcza zastosowanie obiektywów o innej długości zapewniające założone projektem kąty i obszary widzenia poszczególnych kamer. 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 xml:space="preserve">Pyt. 3: 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Dotyczy - projekt instalacji niskoprądowych CCTV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Czy zamawiający dopuszcza zastosowanie wbudowanych promienników o mniejszym zasięgu przy zachowaniu odpowiedniego pokrycia sceny przez kamery i ich oświetlacze? Analizując projekt możemy jednoznacznie potwierdzić, iż wymagany projektem zasięg promiennika jest wielokrotnie przeszacowany.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Prosimy o zgodę na zastosowanie kamer z promiennikami o innym zasięgu niż opisanych w projekcie, przy założeniu, że ich zasięg będzie adekwatny do pola obserwacji kamery.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b/>
          <w:color w:val="00000A"/>
        </w:rPr>
        <w:t xml:space="preserve">Odp.: </w:t>
      </w:r>
      <w:bookmarkStart w:id="2" w:name="_Hlk48661311"/>
      <w:r w:rsidRPr="000A0372">
        <w:rPr>
          <w:rFonts w:ascii="Verdana" w:hAnsi="Verdana"/>
          <w:b/>
          <w:bCs/>
          <w:color w:val="000000"/>
        </w:rPr>
        <w:t>Zamawiający dopuszcza inny zasięg dla kamer Typu 1, 2 i 4 przy założeniu, że będzie adekwatny do pola ich obserwacji.</w:t>
      </w:r>
      <w:bookmarkEnd w:id="2"/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Pyt. 4: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Dotyczy - projekt instalacji niskoprądowych CCTV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Kombinacja czułości kamer wraz z innymi parametrami opisanymi w projekcie, jednoznacznie wskazuje na konkretnego producenta. Z punktu widzenia użyteczności tych parametrów ważna jest informacja na temat warunków, w których były badane (np. IRE etc.) Bez tej informacji nie da się stwierdzić, czy dane urządzenie jest równoważne.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lastRenderedPageBreak/>
        <w:t>Prosimy o podanie przy jakiej wartości IRE są uzyskane podane w projekcie wartości czułości.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b/>
          <w:color w:val="00000A"/>
        </w:rPr>
        <w:t xml:space="preserve">Odp.: </w:t>
      </w:r>
      <w:r w:rsidRPr="000A0372">
        <w:rPr>
          <w:rFonts w:ascii="Verdana" w:hAnsi="Verdana"/>
          <w:b/>
          <w:bCs/>
          <w:color w:val="000000"/>
        </w:rPr>
        <w:t xml:space="preserve">Minimalne parametry czułości kamer w </w:t>
      </w:r>
      <w:bookmarkStart w:id="3" w:name="_Hlk48661496"/>
      <w:r w:rsidRPr="000A0372">
        <w:rPr>
          <w:rFonts w:ascii="Verdana" w:hAnsi="Verdana"/>
          <w:b/>
          <w:bCs/>
          <w:color w:val="000000"/>
        </w:rPr>
        <w:t xml:space="preserve">są określone dla IRE = 30 </w:t>
      </w:r>
      <w:bookmarkEnd w:id="3"/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Pyt.  5: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Dotyczy - projekt instalacji niskoprądowych CCTV, kamera typ 2.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Do czego służą wymagane złącza wideo 1x 1Vp-p BNC: TVI / CVI / AHD / PAL? Przy budowie systemu IP nie mają zupełnie zastosowania. Ten zapis wskazuje na skopiowanie zapisów karty katalogowej producenta. Prosimy o wykreślenie tego zapisu.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b/>
          <w:bCs/>
          <w:color w:val="000000"/>
        </w:rPr>
      </w:pPr>
      <w:r w:rsidRPr="000A0372">
        <w:rPr>
          <w:rFonts w:ascii="Verdana" w:hAnsi="Verdana"/>
          <w:b/>
          <w:color w:val="00000A"/>
        </w:rPr>
        <w:t xml:space="preserve">Odp.: </w:t>
      </w:r>
      <w:r w:rsidRPr="000A0372">
        <w:rPr>
          <w:rFonts w:ascii="Verdana" w:hAnsi="Verdana"/>
          <w:b/>
          <w:bCs/>
          <w:color w:val="000000"/>
        </w:rPr>
        <w:t>Minimalne kluczowe wymagania dla kamery typ 2:</w:t>
      </w:r>
    </w:p>
    <w:p w:rsidR="000A0372" w:rsidRPr="000A0372" w:rsidRDefault="000A0372" w:rsidP="000A0372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hAnsi="Verdana"/>
          <w:b/>
          <w:bCs/>
          <w:color w:val="000000"/>
        </w:rPr>
      </w:pPr>
      <w:r w:rsidRPr="000A0372">
        <w:rPr>
          <w:rFonts w:ascii="Verdana" w:hAnsi="Verdana"/>
          <w:b/>
          <w:bCs/>
          <w:color w:val="000000"/>
        </w:rPr>
        <w:t>przetwornik: 1/3" 4MP Progressive Scan CMOS (Zamawiający dopuszcza inną wielkość przetwornika przy zachowaniu wymaganej jakości obrazu.)</w:t>
      </w:r>
    </w:p>
    <w:p w:rsidR="000A0372" w:rsidRPr="000A0372" w:rsidRDefault="000A0372" w:rsidP="000A0372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hAnsi="Verdana"/>
          <w:b/>
          <w:bCs/>
          <w:color w:val="000000"/>
        </w:rPr>
      </w:pPr>
      <w:r w:rsidRPr="000A0372">
        <w:rPr>
          <w:rFonts w:ascii="Verdana" w:hAnsi="Verdana"/>
          <w:b/>
          <w:bCs/>
          <w:color w:val="000000"/>
        </w:rPr>
        <w:t xml:space="preserve">rozdzielczość: 2688×1520 / 25 </w:t>
      </w:r>
      <w:proofErr w:type="spellStart"/>
      <w:r w:rsidRPr="000A0372">
        <w:rPr>
          <w:rFonts w:ascii="Verdana" w:hAnsi="Verdana"/>
          <w:b/>
          <w:bCs/>
          <w:color w:val="000000"/>
        </w:rPr>
        <w:t>kl</w:t>
      </w:r>
      <w:proofErr w:type="spellEnd"/>
      <w:r w:rsidRPr="000A0372">
        <w:rPr>
          <w:rFonts w:ascii="Verdana" w:hAnsi="Verdana"/>
          <w:b/>
          <w:bCs/>
          <w:color w:val="000000"/>
        </w:rPr>
        <w:t>/s</w:t>
      </w:r>
    </w:p>
    <w:p w:rsidR="000A0372" w:rsidRPr="000A0372" w:rsidRDefault="000A0372" w:rsidP="000A0372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hAnsi="Verdana"/>
          <w:b/>
          <w:bCs/>
          <w:color w:val="000000"/>
        </w:rPr>
      </w:pPr>
      <w:r w:rsidRPr="000A0372">
        <w:rPr>
          <w:rFonts w:ascii="Verdana" w:hAnsi="Verdana"/>
          <w:b/>
          <w:bCs/>
          <w:color w:val="000000"/>
        </w:rPr>
        <w:t xml:space="preserve">interfejs: Ethernet 10/100 Base-T </w:t>
      </w:r>
      <w:proofErr w:type="spellStart"/>
      <w:r w:rsidRPr="000A0372">
        <w:rPr>
          <w:rFonts w:ascii="Verdana" w:hAnsi="Verdana"/>
          <w:b/>
          <w:bCs/>
          <w:color w:val="000000"/>
        </w:rPr>
        <w:t>PoE</w:t>
      </w:r>
      <w:proofErr w:type="spellEnd"/>
      <w:r w:rsidRPr="000A0372">
        <w:rPr>
          <w:rFonts w:ascii="Verdana" w:hAnsi="Verdana"/>
          <w:b/>
          <w:bCs/>
          <w:color w:val="000000"/>
        </w:rPr>
        <w:t xml:space="preserve"> 802.3af</w:t>
      </w:r>
    </w:p>
    <w:p w:rsidR="000A0372" w:rsidRPr="000A0372" w:rsidRDefault="000A0372" w:rsidP="000A0372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hAnsi="Verdana"/>
          <w:b/>
          <w:bCs/>
          <w:color w:val="000000"/>
        </w:rPr>
      </w:pPr>
      <w:r w:rsidRPr="000A0372">
        <w:rPr>
          <w:rFonts w:ascii="Verdana" w:hAnsi="Verdana"/>
          <w:b/>
          <w:bCs/>
          <w:color w:val="000000"/>
        </w:rPr>
        <w:t>kompresja: H.265+/ H.265/ H.264+/ H.264/ MJPEG</w:t>
      </w:r>
    </w:p>
    <w:p w:rsidR="000A0372" w:rsidRPr="000A0372" w:rsidRDefault="000A0372" w:rsidP="000A0372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hAnsi="Verdana"/>
          <w:b/>
          <w:bCs/>
          <w:color w:val="000000"/>
        </w:rPr>
      </w:pPr>
      <w:r w:rsidRPr="000A0372">
        <w:rPr>
          <w:rFonts w:ascii="Verdana" w:hAnsi="Verdana"/>
          <w:b/>
          <w:bCs/>
          <w:color w:val="000000"/>
        </w:rPr>
        <w:t>ilość pikseli: 4Mpx</w:t>
      </w:r>
    </w:p>
    <w:p w:rsidR="000A0372" w:rsidRPr="000A0372" w:rsidRDefault="000A0372" w:rsidP="000A0372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hAnsi="Verdana"/>
          <w:b/>
          <w:bCs/>
          <w:color w:val="000000"/>
        </w:rPr>
      </w:pPr>
      <w:r w:rsidRPr="000A0372">
        <w:rPr>
          <w:rFonts w:ascii="Verdana" w:hAnsi="Verdana"/>
          <w:b/>
          <w:bCs/>
          <w:color w:val="000000"/>
        </w:rPr>
        <w:t xml:space="preserve">czułość: 0.01 </w:t>
      </w:r>
      <w:proofErr w:type="spellStart"/>
      <w:r w:rsidRPr="000A0372">
        <w:rPr>
          <w:rFonts w:ascii="Verdana" w:hAnsi="Verdana"/>
          <w:b/>
          <w:bCs/>
          <w:color w:val="000000"/>
        </w:rPr>
        <w:t>lux</w:t>
      </w:r>
      <w:proofErr w:type="spellEnd"/>
      <w:r w:rsidRPr="000A0372">
        <w:rPr>
          <w:rFonts w:ascii="Verdana" w:hAnsi="Verdana"/>
          <w:b/>
          <w:bCs/>
          <w:color w:val="000000"/>
        </w:rPr>
        <w:t xml:space="preserve">/F1.2 (AGC ON), 0 </w:t>
      </w:r>
      <w:proofErr w:type="spellStart"/>
      <w:r w:rsidRPr="000A0372">
        <w:rPr>
          <w:rFonts w:ascii="Verdana" w:hAnsi="Verdana"/>
          <w:b/>
          <w:bCs/>
          <w:color w:val="000000"/>
        </w:rPr>
        <w:t>lux</w:t>
      </w:r>
      <w:proofErr w:type="spellEnd"/>
      <w:r w:rsidRPr="000A0372">
        <w:rPr>
          <w:rFonts w:ascii="Verdana" w:hAnsi="Verdana"/>
          <w:b/>
          <w:bCs/>
          <w:color w:val="000000"/>
        </w:rPr>
        <w:t xml:space="preserve"> (IR LED ON); (przy IRE = 30)</w:t>
      </w:r>
    </w:p>
    <w:p w:rsidR="000A0372" w:rsidRPr="000A0372" w:rsidRDefault="000A0372" w:rsidP="000A0372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hAnsi="Verdana"/>
          <w:b/>
          <w:bCs/>
          <w:color w:val="000000"/>
        </w:rPr>
      </w:pPr>
      <w:r w:rsidRPr="000A0372">
        <w:rPr>
          <w:rFonts w:ascii="Verdana" w:hAnsi="Verdana"/>
          <w:b/>
          <w:bCs/>
          <w:color w:val="000000"/>
        </w:rPr>
        <w:t>obiektyw: 2.8mm / F1.6</w:t>
      </w:r>
    </w:p>
    <w:p w:rsidR="000A0372" w:rsidRPr="000A0372" w:rsidRDefault="000A0372" w:rsidP="000A0372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hAnsi="Verdana"/>
          <w:b/>
          <w:bCs/>
          <w:color w:val="000000"/>
        </w:rPr>
      </w:pPr>
      <w:r w:rsidRPr="000A0372">
        <w:rPr>
          <w:rFonts w:ascii="Verdana" w:hAnsi="Verdana"/>
          <w:b/>
          <w:bCs/>
          <w:color w:val="000000"/>
        </w:rPr>
        <w:t xml:space="preserve">Promiennik podczerwieni (zasięg 30m) - Zamawiający dopuszcza inny zasięg przy </w:t>
      </w:r>
      <w:r w:rsidRPr="000A0372">
        <w:rPr>
          <w:rFonts w:ascii="Verdana" w:hAnsi="Verdana"/>
          <w:b/>
          <w:bCs/>
          <w:color w:val="000000"/>
        </w:rPr>
        <w:tab/>
        <w:t>założeniu, że będzie adekwatny do pola ich obserwacji</w:t>
      </w:r>
    </w:p>
    <w:p w:rsidR="000A0372" w:rsidRPr="000A0372" w:rsidRDefault="000A0372" w:rsidP="000A0372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hAnsi="Verdana"/>
          <w:b/>
          <w:bCs/>
          <w:color w:val="000000"/>
        </w:rPr>
      </w:pPr>
      <w:r w:rsidRPr="000A0372">
        <w:rPr>
          <w:rFonts w:ascii="Verdana" w:hAnsi="Verdana"/>
          <w:b/>
          <w:bCs/>
          <w:color w:val="000000"/>
        </w:rPr>
        <w:t>AWB, AGC, BLC, HLC, 3D DNR, ROI</w:t>
      </w:r>
    </w:p>
    <w:p w:rsidR="000A0372" w:rsidRPr="000A0372" w:rsidRDefault="000A0372" w:rsidP="000A0372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hAnsi="Verdana"/>
          <w:b/>
          <w:bCs/>
          <w:color w:val="000000"/>
        </w:rPr>
      </w:pPr>
      <w:r w:rsidRPr="000A0372">
        <w:rPr>
          <w:rFonts w:ascii="Verdana" w:hAnsi="Verdana"/>
          <w:b/>
          <w:bCs/>
          <w:color w:val="000000"/>
        </w:rPr>
        <w:t>Szeroki zakres dynamiki: WDR 120dB</w:t>
      </w:r>
    </w:p>
    <w:p w:rsidR="000A0372" w:rsidRPr="000A0372" w:rsidRDefault="000A0372" w:rsidP="000A0372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hAnsi="Verdana"/>
          <w:b/>
          <w:bCs/>
          <w:color w:val="000000"/>
        </w:rPr>
      </w:pPr>
      <w:r w:rsidRPr="000A0372">
        <w:rPr>
          <w:rFonts w:ascii="Verdana" w:hAnsi="Verdana"/>
          <w:b/>
          <w:bCs/>
          <w:color w:val="000000"/>
        </w:rPr>
        <w:t>mechaniczny filtr podczerwieni ICR</w:t>
      </w:r>
    </w:p>
    <w:p w:rsidR="000A0372" w:rsidRPr="000A0372" w:rsidRDefault="000A0372" w:rsidP="000A0372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hAnsi="Verdana"/>
          <w:b/>
          <w:bCs/>
          <w:color w:val="000000"/>
        </w:rPr>
      </w:pPr>
      <w:r w:rsidRPr="000A0372">
        <w:rPr>
          <w:rFonts w:ascii="Verdana" w:hAnsi="Verdana"/>
          <w:b/>
          <w:bCs/>
          <w:color w:val="000000"/>
        </w:rPr>
        <w:t>zgodność ze standardami: ONVIF, ISAPI</w:t>
      </w:r>
    </w:p>
    <w:p w:rsidR="000A0372" w:rsidRPr="000A0372" w:rsidRDefault="000A0372" w:rsidP="000A0372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hAnsi="Verdana"/>
          <w:b/>
          <w:bCs/>
          <w:color w:val="000000"/>
        </w:rPr>
      </w:pPr>
      <w:r w:rsidRPr="000A0372">
        <w:rPr>
          <w:rFonts w:ascii="Verdana" w:hAnsi="Verdana"/>
          <w:b/>
          <w:bCs/>
          <w:color w:val="000000"/>
        </w:rPr>
        <w:t xml:space="preserve">zasilanie: 12V DC lub </w:t>
      </w:r>
      <w:proofErr w:type="spellStart"/>
      <w:r w:rsidRPr="000A0372">
        <w:rPr>
          <w:rFonts w:ascii="Verdana" w:hAnsi="Verdana"/>
          <w:b/>
          <w:bCs/>
          <w:color w:val="000000"/>
        </w:rPr>
        <w:t>PoE</w:t>
      </w:r>
      <w:proofErr w:type="spellEnd"/>
      <w:r w:rsidRPr="000A0372">
        <w:rPr>
          <w:rFonts w:ascii="Verdana" w:hAnsi="Verdana"/>
          <w:b/>
          <w:bCs/>
          <w:color w:val="000000"/>
        </w:rPr>
        <w:t xml:space="preserve"> 48V (802.3af)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  <w:r w:rsidRPr="000A0372">
        <w:rPr>
          <w:rFonts w:ascii="Verdana" w:hAnsi="Verdana"/>
        </w:rPr>
        <w:t>Pyt. 6: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  <w:r w:rsidRPr="000A0372">
        <w:rPr>
          <w:rFonts w:ascii="Verdana" w:hAnsi="Verdana"/>
        </w:rPr>
        <w:t>Dotyczy - projekt instalacji niskoprądowych SAP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  <w:r w:rsidRPr="000A0372">
        <w:rPr>
          <w:rFonts w:ascii="Verdana" w:hAnsi="Verdana"/>
        </w:rPr>
        <w:lastRenderedPageBreak/>
        <w:t>Zamawiający wskazuje stopień IP dla modułów systemu SAP na IP65. Nie ma to uzasadnienia, gdy instalacja będzie wykonywana wewnątrz budynku. W takiej sytuacji normy EN wymagają najwyżej IP54. Prosimy o modyfikację tego wymogu.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  <w:r w:rsidRPr="000A0372">
        <w:rPr>
          <w:rFonts w:ascii="Verdana" w:hAnsi="Verdana"/>
          <w:b/>
        </w:rPr>
        <w:t xml:space="preserve">Odp.: </w:t>
      </w:r>
      <w:r w:rsidRPr="000A0372">
        <w:rPr>
          <w:rFonts w:ascii="Verdana" w:hAnsi="Verdana"/>
          <w:b/>
          <w:bCs/>
        </w:rPr>
        <w:t xml:space="preserve">Część modułów montowana jest w obudowach pod sufitem podwieszanym w pobliżu instalacji </w:t>
      </w:r>
      <w:proofErr w:type="spellStart"/>
      <w:r w:rsidRPr="000A0372">
        <w:rPr>
          <w:rFonts w:ascii="Verdana" w:hAnsi="Verdana"/>
          <w:b/>
          <w:bCs/>
        </w:rPr>
        <w:t>wod</w:t>
      </w:r>
      <w:proofErr w:type="spellEnd"/>
      <w:r w:rsidRPr="000A0372">
        <w:rPr>
          <w:rFonts w:ascii="Verdana" w:hAnsi="Verdana"/>
          <w:b/>
          <w:bCs/>
        </w:rPr>
        <w:t>-kan. Zamawiający podtrzymuje konieczność zastosowania modułów min. IP65.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Pyt. 7: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Dotyczy - projekt instalacji niskoprądowych SAP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color w:val="00000A"/>
        </w:rPr>
        <w:t>Zamawiający wskazuje zakres pracy temperatury dla czujki -10 +55. Czy Zamawiający dopuści zakres -20 +50?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color w:val="00000A"/>
        </w:rPr>
      </w:pPr>
      <w:r w:rsidRPr="000A0372">
        <w:rPr>
          <w:rFonts w:ascii="Verdana" w:hAnsi="Verdana"/>
          <w:b/>
          <w:color w:val="00000A"/>
        </w:rPr>
        <w:t xml:space="preserve">Odp.: </w:t>
      </w:r>
      <w:r w:rsidRPr="000A0372">
        <w:rPr>
          <w:rFonts w:ascii="Verdana" w:hAnsi="Verdana"/>
          <w:b/>
          <w:bCs/>
          <w:color w:val="000000"/>
        </w:rPr>
        <w:t>Zamawiający dopuści czujki o takich parametrach.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  <w:r w:rsidRPr="000A0372">
        <w:rPr>
          <w:rFonts w:ascii="Verdana" w:hAnsi="Verdana"/>
        </w:rPr>
        <w:t>Pyt.  8: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  <w:r w:rsidRPr="000A0372">
        <w:rPr>
          <w:rFonts w:ascii="Verdana" w:hAnsi="Verdana"/>
        </w:rPr>
        <w:t>Dotyczy - projekt instalacji niskoprądowych SAP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  <w:r w:rsidRPr="000A0372">
        <w:rPr>
          <w:rFonts w:ascii="Verdana" w:hAnsi="Verdana"/>
        </w:rPr>
        <w:t>Dla czujki optycznej zamawiający podaje: Czujka wykrywa pożary testowe TF1-TF5, TF7-TF9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  <w:r w:rsidRPr="000A0372">
        <w:rPr>
          <w:rFonts w:ascii="Verdana" w:hAnsi="Verdana"/>
        </w:rPr>
        <w:t>Norma EN54-7 dotyczy tylko części z nich, a projektowany producent jedynie deklaruje cześć z nich.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  <w:r w:rsidRPr="000A0372">
        <w:rPr>
          <w:rFonts w:ascii="Verdana" w:hAnsi="Verdana"/>
        </w:rPr>
        <w:t>Czy zamawiający wymaga podania potwierdzenia z laboratorium spełniania powyższych alarmów?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b/>
          <w:bCs/>
        </w:rPr>
      </w:pPr>
      <w:r w:rsidRPr="000A0372">
        <w:rPr>
          <w:rFonts w:ascii="Verdana" w:hAnsi="Verdana"/>
          <w:b/>
        </w:rPr>
        <w:t xml:space="preserve">Odp.: </w:t>
      </w:r>
      <w:r w:rsidRPr="000A0372">
        <w:rPr>
          <w:rFonts w:ascii="Verdana" w:hAnsi="Verdana"/>
          <w:b/>
          <w:bCs/>
        </w:rPr>
        <w:t>Zamawiający dopuszcza czujki pożarowe wykrywające pożary testowe TF1-TF5 oraz TF7-TF9. Dla TF7-TF9 wymaga potwierdzenia z certyfikowanych jednostek badawczych systemów sygnalizacji pożaru np. CNBOP – tym samym Zamawiający uznaje, że deklaracja producenta nie jest wystarczająca.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  <w:b/>
          <w:bCs/>
          <w:color w:val="FF0000"/>
        </w:rPr>
      </w:pP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  <w:r w:rsidRPr="000A0372">
        <w:rPr>
          <w:rFonts w:ascii="Verdana" w:hAnsi="Verdana"/>
        </w:rPr>
        <w:t>Pyt. 9: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  <w:r w:rsidRPr="000A0372">
        <w:rPr>
          <w:rFonts w:ascii="Verdana" w:hAnsi="Verdana"/>
        </w:rPr>
        <w:t>Dotyczy - projekt instalacji niskoprądowych DSO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  <w:r w:rsidRPr="000A0372">
        <w:rPr>
          <w:rFonts w:ascii="Verdana" w:hAnsi="Verdana"/>
        </w:rPr>
        <w:t>Podana w projekcie kombinacja parametrów głośników jednoznacznie wskazuje na jednego dostawcę.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  <w:r w:rsidRPr="000A0372">
        <w:rPr>
          <w:rFonts w:ascii="Verdana" w:hAnsi="Verdana"/>
        </w:rPr>
        <w:lastRenderedPageBreak/>
        <w:t>Czy zamawiający dopuszcza zastosowanie głośników o minimalnie innych parametrach przy spełnieniu wymogów koniecznych do zapewnienia odpowiedniego poziomu zrozumiałości mowy? Jest to podstawowy parametr określający jakość systemu DSO.</w:t>
      </w:r>
    </w:p>
    <w:p w:rsidR="000A0372" w:rsidRPr="000A0372" w:rsidRDefault="000A0372" w:rsidP="000A0372">
      <w:pPr>
        <w:spacing w:line="360" w:lineRule="auto"/>
        <w:jc w:val="both"/>
        <w:rPr>
          <w:rFonts w:ascii="Verdana" w:hAnsi="Verdana"/>
        </w:rPr>
      </w:pPr>
      <w:r w:rsidRPr="000A0372">
        <w:rPr>
          <w:rFonts w:ascii="Verdana" w:hAnsi="Verdana"/>
          <w:b/>
        </w:rPr>
        <w:t xml:space="preserve">Odp.:  </w:t>
      </w:r>
      <w:r w:rsidRPr="000A0372">
        <w:rPr>
          <w:rFonts w:ascii="Verdana" w:hAnsi="Verdana"/>
          <w:b/>
          <w:bCs/>
        </w:rPr>
        <w:t>W całym projekcie wszystkie przywołane parametry są wymaganiami minimalnymi. Dla projektu DSO została opracowana symulacja DSO w oparciu o przywołane minimalne parametry. Zamawiający z tego względu dopuszcza głośniki o nie gorszych parametrach.</w:t>
      </w:r>
    </w:p>
    <w:p w:rsidR="0021206B" w:rsidRPr="000A0372" w:rsidRDefault="0021206B" w:rsidP="000A0372">
      <w:pPr>
        <w:jc w:val="both"/>
        <w:rPr>
          <w:rFonts w:ascii="Verdana" w:hAnsi="Verdana"/>
        </w:rPr>
      </w:pPr>
    </w:p>
    <w:p w:rsidR="0021206B" w:rsidRPr="000A0372" w:rsidRDefault="0021206B" w:rsidP="000A0372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DDE" w:rsidRDefault="00375DDE">
      <w:r>
        <w:separator/>
      </w:r>
    </w:p>
  </w:endnote>
  <w:endnote w:type="continuationSeparator" w:id="0">
    <w:p w:rsidR="00375DDE" w:rsidRDefault="00375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DDE" w:rsidRDefault="00375DDE">
      <w:r>
        <w:separator/>
      </w:r>
    </w:p>
  </w:footnote>
  <w:footnote w:type="continuationSeparator" w:id="0">
    <w:p w:rsidR="00375DDE" w:rsidRDefault="00375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0A037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0A037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5E3BBC"/>
    <w:multiLevelType w:val="hybridMultilevel"/>
    <w:tmpl w:val="9FC26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DDE"/>
    <w:rsid w:val="000607BF"/>
    <w:rsid w:val="000A0372"/>
    <w:rsid w:val="000A2D5C"/>
    <w:rsid w:val="000C4220"/>
    <w:rsid w:val="000D254E"/>
    <w:rsid w:val="001102A4"/>
    <w:rsid w:val="00130D1C"/>
    <w:rsid w:val="00180DBD"/>
    <w:rsid w:val="0021206B"/>
    <w:rsid w:val="002405E1"/>
    <w:rsid w:val="002B1787"/>
    <w:rsid w:val="00315D72"/>
    <w:rsid w:val="00333103"/>
    <w:rsid w:val="00347E12"/>
    <w:rsid w:val="00375DDE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16CFF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5:chartTrackingRefBased/>
  <w15:docId w15:val="{0EB7C4DB-E064-47E2-8D67-EB4550EC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6CFF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C16CF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uiPriority w:val="99"/>
    <w:rsid w:val="00C16CFF"/>
  </w:style>
  <w:style w:type="character" w:customStyle="1" w:styleId="Tekstpodstawowywcity3Znak">
    <w:name w:val="Tekst podstawowy wcięty 3 Znak"/>
    <w:link w:val="Tekstpodstawowywcity3"/>
    <w:rsid w:val="00C16CFF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3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814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2020-08-20T06:14:00Z</cp:lastPrinted>
  <dcterms:created xsi:type="dcterms:W3CDTF">2020-08-20T06:12:00Z</dcterms:created>
  <dcterms:modified xsi:type="dcterms:W3CDTF">2020-08-20T06:14:00Z</dcterms:modified>
</cp:coreProperties>
</file>