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EFF" w:rsidRPr="00315D72" w:rsidRDefault="00EF1EFF" w:rsidP="00EF1EFF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EF1EFF" w:rsidRPr="00315D72" w:rsidRDefault="00EF1EFF" w:rsidP="00EF1EF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EFF" w:rsidRPr="00315D72" w:rsidRDefault="00EF1EFF" w:rsidP="00EF1EF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EF1EFF" w:rsidRPr="00315D72" w:rsidRDefault="00EF1EFF" w:rsidP="00EF1EF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EF1EFF" w:rsidRPr="00315D72" w:rsidRDefault="00EF1EFF" w:rsidP="00EF1EFF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(44)</w:t>
      </w:r>
    </w:p>
    <w:p w:rsidR="00EF1EFF" w:rsidRPr="00315D72" w:rsidRDefault="00EF1EFF" w:rsidP="00EF1EFF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EF1EFF" w:rsidRPr="001353A9" w:rsidRDefault="00EF1EFF" w:rsidP="00EF1E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</w:t>
      </w:r>
      <w:r w:rsidRPr="001353A9">
        <w:rPr>
          <w:rFonts w:ascii="Verdana" w:hAnsi="Verdana"/>
          <w:sz w:val="20"/>
        </w:rPr>
        <w:t>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1353A9">
        <w:rPr>
          <w:rFonts w:ascii="Verdana" w:hAnsi="Verdana"/>
          <w:b/>
          <w:sz w:val="20"/>
        </w:rPr>
        <w:t>przetarg nieograniczony”,</w:t>
      </w:r>
      <w:r w:rsidRPr="001353A9">
        <w:rPr>
          <w:rFonts w:ascii="Verdana" w:hAnsi="Verdana"/>
          <w:sz w:val="20"/>
        </w:rPr>
        <w:t xml:space="preserve"> którego przedmiotem jest </w:t>
      </w:r>
      <w:r w:rsidRPr="001353A9">
        <w:rPr>
          <w:rFonts w:ascii="Verdana" w:hAnsi="Verdana"/>
          <w:b/>
          <w:sz w:val="20"/>
        </w:rPr>
        <w:t xml:space="preserve">Budowa wielofunkcyjnej Hali Sportowej AGH w Krakowie. </w:t>
      </w:r>
      <w:r w:rsidRPr="001353A9">
        <w:rPr>
          <w:rFonts w:ascii="Verdana" w:hAnsi="Verdana"/>
          <w:b/>
          <w:sz w:val="20"/>
        </w:rPr>
        <w:br/>
        <w:t>KC-zp.272-255/20.</w:t>
      </w:r>
    </w:p>
    <w:p w:rsidR="00EF1EFF" w:rsidRPr="001353A9" w:rsidRDefault="00EF1EFF" w:rsidP="00EF1EFF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EF1EFF" w:rsidRPr="001353A9" w:rsidRDefault="00EF1EFF" w:rsidP="00EF1EF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353A9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1353A9" w:rsidRPr="001353A9" w:rsidRDefault="001353A9" w:rsidP="001353A9">
      <w:pPr>
        <w:pStyle w:val="Akapitzlist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W nawiązaniu do odpowiedzi z pakietu 14 prosimy o potwierdzenie, że Inwestor zmienił rolety wewnętrzne z zestawienia A-41 z aluminiowych na materiałowe. Jeśli tak, prosimy o podanie parametrów rolet materiałowych które należy uwzględnić w wycenie.</w:t>
      </w:r>
    </w:p>
    <w:p w:rsidR="001353A9" w:rsidRPr="008057F4" w:rsidRDefault="001353A9" w:rsidP="001353A9">
      <w:pPr>
        <w:spacing w:line="276" w:lineRule="auto"/>
        <w:ind w:left="709" w:hanging="709"/>
        <w:jc w:val="both"/>
        <w:rPr>
          <w:rFonts w:ascii="Verdana" w:hAnsi="Verdana"/>
          <w:b/>
          <w:bCs/>
          <w:color w:val="000000"/>
        </w:rPr>
      </w:pPr>
      <w:r w:rsidRPr="001353A9">
        <w:rPr>
          <w:rFonts w:ascii="Verdana" w:hAnsi="Verdana"/>
          <w:b/>
          <w:bCs/>
          <w:color w:val="000000"/>
        </w:rPr>
        <w:t xml:space="preserve">Odp.: Szczegóły </w:t>
      </w:r>
      <w:r w:rsidRPr="008057F4">
        <w:rPr>
          <w:rFonts w:ascii="Verdana" w:hAnsi="Verdana"/>
          <w:b/>
          <w:bCs/>
          <w:color w:val="000000"/>
        </w:rPr>
        <w:t xml:space="preserve">odpowiedzi w </w:t>
      </w:r>
      <w:bookmarkStart w:id="0" w:name="_GoBack"/>
      <w:bookmarkEnd w:id="0"/>
      <w:r w:rsidRPr="008057F4">
        <w:rPr>
          <w:rFonts w:ascii="Verdana" w:hAnsi="Verdana"/>
          <w:b/>
          <w:bCs/>
          <w:color w:val="000000"/>
        </w:rPr>
        <w:t>dokumencie ODPOWIEDŹ NA ZAPYTANIA W SPRAWIE SIWZ nr 27 Odp. 9, z dnia 03/08/2020r.</w:t>
      </w:r>
    </w:p>
    <w:p w:rsidR="001353A9" w:rsidRPr="008057F4" w:rsidRDefault="001353A9" w:rsidP="001353A9">
      <w:pPr>
        <w:spacing w:line="276" w:lineRule="auto"/>
        <w:ind w:left="709" w:hanging="283"/>
        <w:rPr>
          <w:rFonts w:ascii="Verdana" w:hAnsi="Verdana"/>
          <w:b/>
          <w:bCs/>
          <w:color w:val="000000"/>
        </w:rPr>
      </w:pPr>
      <w:r w:rsidRPr="008057F4">
        <w:rPr>
          <w:rFonts w:ascii="Verdana" w:hAnsi="Verdana"/>
          <w:b/>
          <w:bCs/>
          <w:color w:val="000000"/>
        </w:rPr>
        <w:t>Minimalne kluczowe parametry rolet materiałowych.</w:t>
      </w:r>
    </w:p>
    <w:p w:rsidR="001353A9" w:rsidRPr="008057F4" w:rsidRDefault="001353A9" w:rsidP="001353A9">
      <w:pPr>
        <w:spacing w:line="276" w:lineRule="auto"/>
        <w:ind w:left="709" w:hanging="283"/>
        <w:rPr>
          <w:rFonts w:ascii="Verdana" w:hAnsi="Verdana"/>
          <w:b/>
          <w:bCs/>
          <w:color w:val="000000"/>
        </w:rPr>
      </w:pPr>
      <w:r w:rsidRPr="008057F4">
        <w:rPr>
          <w:rFonts w:ascii="Verdana" w:hAnsi="Verdana"/>
          <w:b/>
          <w:bCs/>
          <w:color w:val="000000"/>
        </w:rPr>
        <w:t>Należy stosować rolety przeznaczone do stosowania w obiektach użyteczności publicznej:</w:t>
      </w:r>
    </w:p>
    <w:p w:rsidR="001353A9" w:rsidRPr="008057F4" w:rsidRDefault="001353A9" w:rsidP="001353A9">
      <w:pPr>
        <w:pStyle w:val="Akapitzlist"/>
        <w:numPr>
          <w:ilvl w:val="0"/>
          <w:numId w:val="2"/>
        </w:numPr>
        <w:spacing w:line="276" w:lineRule="auto"/>
        <w:ind w:left="709" w:hanging="283"/>
        <w:rPr>
          <w:rFonts w:ascii="Verdana" w:hAnsi="Verdana"/>
          <w:b/>
          <w:bCs/>
          <w:color w:val="000000"/>
          <w:sz w:val="20"/>
          <w:szCs w:val="20"/>
        </w:rPr>
      </w:pPr>
      <w:r w:rsidRPr="008057F4">
        <w:rPr>
          <w:rFonts w:ascii="Verdana" w:hAnsi="Verdana"/>
          <w:b/>
          <w:bCs/>
          <w:color w:val="000000"/>
          <w:sz w:val="20"/>
          <w:szCs w:val="20"/>
        </w:rPr>
        <w:t>rolety o pełnym zaciemnieniu:</w:t>
      </w:r>
    </w:p>
    <w:p w:rsidR="001353A9" w:rsidRPr="001353A9" w:rsidRDefault="001353A9" w:rsidP="001353A9">
      <w:pPr>
        <w:pStyle w:val="Akapitzlist"/>
        <w:numPr>
          <w:ilvl w:val="0"/>
          <w:numId w:val="3"/>
        </w:numPr>
        <w:spacing w:line="276" w:lineRule="auto"/>
        <w:ind w:left="1418" w:hanging="425"/>
        <w:rPr>
          <w:rFonts w:ascii="Verdana" w:hAnsi="Verdana"/>
          <w:b/>
          <w:bCs/>
          <w:color w:val="000000"/>
          <w:sz w:val="20"/>
          <w:szCs w:val="20"/>
        </w:rPr>
      </w:pPr>
      <w:r w:rsidRPr="008057F4">
        <w:rPr>
          <w:rFonts w:ascii="Verdana" w:hAnsi="Verdana"/>
          <w:b/>
          <w:bCs/>
          <w:color w:val="000000"/>
          <w:sz w:val="20"/>
          <w:szCs w:val="20"/>
        </w:rPr>
        <w:t>sterowane automatycznie</w:t>
      </w:r>
      <w:r w:rsidRPr="001353A9">
        <w:rPr>
          <w:rFonts w:ascii="Verdana" w:hAnsi="Verdana"/>
          <w:b/>
          <w:bCs/>
          <w:color w:val="000000"/>
          <w:sz w:val="20"/>
          <w:szCs w:val="20"/>
        </w:rPr>
        <w:t>, (w pokojach biurowych opuszczane mechanicznie – bez sterowania)</w:t>
      </w:r>
    </w:p>
    <w:p w:rsidR="001353A9" w:rsidRPr="001353A9" w:rsidRDefault="001353A9" w:rsidP="001353A9">
      <w:pPr>
        <w:pStyle w:val="Akapitzlist"/>
        <w:numPr>
          <w:ilvl w:val="0"/>
          <w:numId w:val="3"/>
        </w:numPr>
        <w:spacing w:line="276" w:lineRule="auto"/>
        <w:ind w:left="1418" w:hanging="425"/>
        <w:rPr>
          <w:rFonts w:ascii="Verdana" w:hAnsi="Verdana"/>
          <w:b/>
          <w:bCs/>
          <w:color w:val="000000"/>
          <w:sz w:val="20"/>
          <w:szCs w:val="20"/>
        </w:rPr>
      </w:pPr>
      <w:r w:rsidRPr="001353A9">
        <w:rPr>
          <w:rFonts w:ascii="Verdana" w:hAnsi="Verdana"/>
          <w:b/>
          <w:bCs/>
          <w:color w:val="000000"/>
          <w:sz w:val="20"/>
          <w:szCs w:val="20"/>
        </w:rPr>
        <w:t xml:space="preserve">tkanina zaciemniająca typu </w:t>
      </w:r>
      <w:proofErr w:type="spellStart"/>
      <w:r w:rsidRPr="001353A9">
        <w:rPr>
          <w:rFonts w:ascii="Verdana" w:hAnsi="Verdana"/>
          <w:b/>
          <w:bCs/>
          <w:color w:val="000000"/>
          <w:sz w:val="20"/>
          <w:szCs w:val="20"/>
        </w:rPr>
        <w:t>black</w:t>
      </w:r>
      <w:proofErr w:type="spellEnd"/>
      <w:r w:rsidRPr="001353A9">
        <w:rPr>
          <w:rFonts w:ascii="Verdana" w:hAnsi="Verdana"/>
          <w:b/>
          <w:bCs/>
          <w:color w:val="000000"/>
          <w:sz w:val="20"/>
          <w:szCs w:val="20"/>
        </w:rPr>
        <w:t xml:space="preserve"> out– wymagane parametry: 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Zastosowanie: </w:t>
      </w:r>
      <w:r w:rsidRPr="001353A9">
        <w:rPr>
          <w:rStyle w:val="Mocnowyrniony"/>
          <w:rFonts w:ascii="Verdana" w:hAnsi="Verdana"/>
          <w:sz w:val="20"/>
          <w:szCs w:val="20"/>
        </w:rPr>
        <w:t>wewnętrzne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Skład:</w:t>
      </w:r>
      <w:r w:rsidRPr="001353A9">
        <w:rPr>
          <w:rStyle w:val="Mocnowyrniony"/>
          <w:rFonts w:ascii="Verdana" w:hAnsi="Verdana"/>
          <w:sz w:val="20"/>
          <w:szCs w:val="20"/>
        </w:rPr>
        <w:t> PVC Poliester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Gramatura:</w:t>
      </w:r>
      <w:r w:rsidRPr="001353A9">
        <w:rPr>
          <w:rStyle w:val="Mocnowyrniony"/>
          <w:rFonts w:ascii="Verdana" w:hAnsi="Verdana"/>
          <w:sz w:val="20"/>
          <w:szCs w:val="20"/>
        </w:rPr>
        <w:t> min. 500 g/m2, 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Grubość:</w:t>
      </w:r>
      <w:r w:rsidRPr="001353A9">
        <w:rPr>
          <w:rStyle w:val="Mocnowyrniony"/>
          <w:rFonts w:ascii="Verdana" w:hAnsi="Verdana"/>
          <w:sz w:val="20"/>
          <w:szCs w:val="20"/>
        </w:rPr>
        <w:t> min. 0,45 mm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lastRenderedPageBreak/>
        <w:t xml:space="preserve">Odporność na rozciąganie: </w:t>
      </w:r>
      <w:r w:rsidRPr="001353A9">
        <w:rPr>
          <w:rStyle w:val="Mocnowyrniony"/>
          <w:rFonts w:ascii="Verdana" w:hAnsi="Verdana"/>
          <w:sz w:val="20"/>
          <w:szCs w:val="20"/>
        </w:rPr>
        <w:t xml:space="preserve">min. 130 </w:t>
      </w:r>
      <w:proofErr w:type="spellStart"/>
      <w:r w:rsidRPr="001353A9">
        <w:rPr>
          <w:rStyle w:val="Mocnowyrniony"/>
          <w:rFonts w:ascii="Verdana" w:hAnsi="Verdana"/>
          <w:sz w:val="20"/>
          <w:szCs w:val="20"/>
        </w:rPr>
        <w:t>daN</w:t>
      </w:r>
      <w:proofErr w:type="spellEnd"/>
      <w:r w:rsidRPr="001353A9">
        <w:rPr>
          <w:rStyle w:val="Mocnowyrniony"/>
          <w:rFonts w:ascii="Verdana" w:hAnsi="Verdana"/>
          <w:sz w:val="20"/>
          <w:szCs w:val="20"/>
        </w:rPr>
        <w:t xml:space="preserve">/5cm osnowa, 130 </w:t>
      </w:r>
      <w:proofErr w:type="spellStart"/>
      <w:r w:rsidRPr="001353A9">
        <w:rPr>
          <w:rStyle w:val="Mocnowyrniony"/>
          <w:rFonts w:ascii="Verdana" w:hAnsi="Verdana"/>
          <w:sz w:val="20"/>
          <w:szCs w:val="20"/>
        </w:rPr>
        <w:t>daN</w:t>
      </w:r>
      <w:proofErr w:type="spellEnd"/>
      <w:r w:rsidRPr="001353A9">
        <w:rPr>
          <w:rStyle w:val="Mocnowyrniony"/>
          <w:rFonts w:ascii="Verdana" w:hAnsi="Verdana"/>
          <w:sz w:val="20"/>
          <w:szCs w:val="20"/>
        </w:rPr>
        <w:t xml:space="preserve">/5cm wątek 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bCs w:val="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Odporność na rozdzieranie: min</w:t>
      </w:r>
      <w:r w:rsidRPr="001353A9">
        <w:rPr>
          <w:rStyle w:val="Mocnowyrniony"/>
          <w:rFonts w:ascii="Verdana" w:hAnsi="Verdana"/>
          <w:sz w:val="20"/>
          <w:szCs w:val="20"/>
        </w:rPr>
        <w:t xml:space="preserve"> 8 </w:t>
      </w:r>
      <w:proofErr w:type="spellStart"/>
      <w:r w:rsidRPr="001353A9">
        <w:rPr>
          <w:rStyle w:val="Mocnowyrniony"/>
          <w:rFonts w:ascii="Verdana" w:hAnsi="Verdana"/>
          <w:sz w:val="20"/>
          <w:szCs w:val="20"/>
        </w:rPr>
        <w:t>daN</w:t>
      </w:r>
      <w:proofErr w:type="spellEnd"/>
      <w:r w:rsidRPr="001353A9">
        <w:rPr>
          <w:rStyle w:val="Mocnowyrniony"/>
          <w:rFonts w:ascii="Verdana" w:hAnsi="Verdana"/>
          <w:sz w:val="20"/>
          <w:szCs w:val="20"/>
        </w:rPr>
        <w:t xml:space="preserve"> osnowa, 8 </w:t>
      </w:r>
      <w:proofErr w:type="spellStart"/>
      <w:r w:rsidRPr="001353A9">
        <w:rPr>
          <w:rStyle w:val="Mocnowyrniony"/>
          <w:rFonts w:ascii="Verdana" w:hAnsi="Verdana"/>
          <w:sz w:val="20"/>
          <w:szCs w:val="20"/>
        </w:rPr>
        <w:t>daN</w:t>
      </w:r>
      <w:proofErr w:type="spellEnd"/>
      <w:r w:rsidRPr="001353A9">
        <w:rPr>
          <w:rStyle w:val="Mocnowyrniony"/>
          <w:rFonts w:ascii="Verdana" w:hAnsi="Verdana"/>
          <w:sz w:val="20"/>
          <w:szCs w:val="20"/>
        </w:rPr>
        <w:t xml:space="preserve"> wątek </w:t>
      </w:r>
    </w:p>
    <w:p w:rsidR="001353A9" w:rsidRPr="001353A9" w:rsidRDefault="001353A9" w:rsidP="001353A9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color w:val="000000"/>
          <w:sz w:val="20"/>
          <w:szCs w:val="20"/>
        </w:rPr>
      </w:pPr>
      <w:r w:rsidRPr="001353A9">
        <w:rPr>
          <w:rFonts w:ascii="Verdana" w:hAnsi="Verdana"/>
          <w:b/>
          <w:bCs/>
          <w:color w:val="000000"/>
          <w:sz w:val="20"/>
          <w:szCs w:val="20"/>
        </w:rPr>
        <w:t xml:space="preserve">tkanina do pokojów biurowych typu </w:t>
      </w:r>
      <w:proofErr w:type="spellStart"/>
      <w:r w:rsidRPr="001353A9">
        <w:rPr>
          <w:rFonts w:ascii="Verdana" w:hAnsi="Verdana"/>
          <w:b/>
          <w:bCs/>
          <w:color w:val="000000"/>
          <w:sz w:val="20"/>
          <w:szCs w:val="20"/>
        </w:rPr>
        <w:t>screen</w:t>
      </w:r>
      <w:proofErr w:type="spellEnd"/>
      <w:r w:rsidRPr="001353A9">
        <w:rPr>
          <w:rFonts w:ascii="Verdana" w:hAnsi="Verdana"/>
          <w:b/>
          <w:bCs/>
          <w:color w:val="000000"/>
          <w:sz w:val="20"/>
          <w:szCs w:val="20"/>
        </w:rPr>
        <w:t xml:space="preserve">– wymagane parametry: 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Zastosowanie: </w:t>
      </w:r>
      <w:r w:rsidRPr="001353A9">
        <w:rPr>
          <w:rStyle w:val="Mocnowyrniony"/>
          <w:rFonts w:ascii="Verdana" w:hAnsi="Verdana"/>
          <w:sz w:val="20"/>
          <w:szCs w:val="20"/>
        </w:rPr>
        <w:t>wewnętrzne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Skład:</w:t>
      </w:r>
      <w:r w:rsidRPr="001353A9">
        <w:rPr>
          <w:rStyle w:val="Mocnowyrniony"/>
          <w:rFonts w:ascii="Verdana" w:hAnsi="Verdana"/>
          <w:sz w:val="20"/>
          <w:szCs w:val="20"/>
        </w:rPr>
        <w:t> włókno szklane powlekane PCV lub włókna poliestrowe pokryte warstwą PVC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sz w:val="20"/>
          <w:szCs w:val="20"/>
        </w:rPr>
        <w:t>Procent otwarcia tkaniny 5%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color w:val="000000"/>
          <w:sz w:val="20"/>
          <w:szCs w:val="20"/>
        </w:rPr>
        <w:t>Grubość:</w:t>
      </w:r>
      <w:r w:rsidRPr="001353A9">
        <w:rPr>
          <w:rStyle w:val="Mocnowyrniony"/>
          <w:rFonts w:ascii="Verdana" w:hAnsi="Verdana"/>
          <w:sz w:val="20"/>
          <w:szCs w:val="20"/>
        </w:rPr>
        <w:t> min. 0,5 mm</w:t>
      </w:r>
    </w:p>
    <w:p w:rsidR="001353A9" w:rsidRPr="001353A9" w:rsidRDefault="001353A9" w:rsidP="001353A9">
      <w:pPr>
        <w:pStyle w:val="Akapitzlist"/>
        <w:numPr>
          <w:ilvl w:val="0"/>
          <w:numId w:val="4"/>
        </w:numPr>
        <w:spacing w:line="276" w:lineRule="auto"/>
        <w:ind w:left="1701" w:hanging="425"/>
        <w:rPr>
          <w:rStyle w:val="Mocnowyrniony"/>
          <w:rFonts w:ascii="Verdana" w:hAnsi="Verdana"/>
          <w:color w:val="000000"/>
          <w:sz w:val="20"/>
          <w:szCs w:val="20"/>
        </w:rPr>
      </w:pPr>
      <w:r w:rsidRPr="001353A9">
        <w:rPr>
          <w:rStyle w:val="Mocnowyrniony"/>
          <w:rFonts w:ascii="Verdana" w:hAnsi="Verdana"/>
          <w:sz w:val="20"/>
          <w:szCs w:val="20"/>
        </w:rPr>
        <w:t>atest trudnopalności;</w:t>
      </w:r>
    </w:p>
    <w:p w:rsidR="001353A9" w:rsidRPr="001353A9" w:rsidRDefault="001353A9" w:rsidP="001353A9">
      <w:pPr>
        <w:pStyle w:val="Akapitzlist"/>
        <w:spacing w:line="276" w:lineRule="auto"/>
        <w:ind w:left="2520"/>
        <w:rPr>
          <w:rStyle w:val="Mocnowyrniony"/>
          <w:rFonts w:ascii="Verdana" w:hAnsi="Verdana"/>
          <w:color w:val="000000"/>
          <w:sz w:val="20"/>
          <w:szCs w:val="20"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Prosimy o udostępnienie pliku „</w:t>
      </w:r>
      <w:proofErr w:type="spellStart"/>
      <w:r w:rsidRPr="001353A9">
        <w:rPr>
          <w:rFonts w:ascii="Verdana" w:hAnsi="Verdana"/>
          <w:sz w:val="20"/>
          <w:szCs w:val="20"/>
        </w:rPr>
        <w:t>plan_budynku.psb</w:t>
      </w:r>
      <w:proofErr w:type="spellEnd"/>
      <w:r w:rsidRPr="001353A9">
        <w:rPr>
          <w:rFonts w:ascii="Verdana" w:hAnsi="Verdana"/>
          <w:sz w:val="20"/>
          <w:szCs w:val="20"/>
        </w:rPr>
        <w:t>” wspomnianego na rysunku WIZ 13. Brak takiego rysunku w dokumentacji.</w:t>
      </w:r>
    </w:p>
    <w:p w:rsidR="001353A9" w:rsidRPr="001353A9" w:rsidRDefault="001353A9" w:rsidP="001353A9">
      <w:pPr>
        <w:spacing w:line="276" w:lineRule="auto"/>
        <w:ind w:left="360" w:firstLine="360"/>
        <w:rPr>
          <w:rFonts w:ascii="Verdana" w:hAnsi="Verdana"/>
          <w:b/>
        </w:rPr>
      </w:pPr>
      <w:r w:rsidRPr="001353A9">
        <w:rPr>
          <w:rFonts w:ascii="Verdana" w:hAnsi="Verdana"/>
          <w:b/>
        </w:rPr>
        <w:t>Odp.: Plan w linku poniżej:</w:t>
      </w:r>
    </w:p>
    <w:p w:rsidR="001353A9" w:rsidRPr="001353A9" w:rsidRDefault="008057F4" w:rsidP="001353A9">
      <w:pPr>
        <w:spacing w:line="276" w:lineRule="auto"/>
        <w:ind w:left="360" w:firstLine="360"/>
        <w:rPr>
          <w:rFonts w:ascii="Verdana" w:hAnsi="Verdana"/>
        </w:rPr>
      </w:pPr>
      <w:hyperlink r:id="rId7" w:history="1">
        <w:r w:rsidR="001353A9" w:rsidRPr="001353A9">
          <w:rPr>
            <w:rStyle w:val="Hipercze"/>
            <w:rFonts w:ascii="Verdana" w:hAnsi="Verdana"/>
          </w:rPr>
          <w:t>http://di.adm.agh.edu.pl/public/mendyk/HS/PLAN_BUDYNKU_SCHEMAT.psd</w:t>
        </w:r>
      </w:hyperlink>
    </w:p>
    <w:p w:rsidR="001353A9" w:rsidRPr="001353A9" w:rsidRDefault="001353A9" w:rsidP="001353A9">
      <w:pPr>
        <w:spacing w:line="276" w:lineRule="auto"/>
        <w:ind w:left="360" w:firstLine="360"/>
        <w:rPr>
          <w:rFonts w:ascii="Verdana" w:hAnsi="Verdana"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W nawiązaniu do pytania nr 6 w odpowiedziach nr 14 z dn. 24.07.2020, pytając o impregnację ścian z betonu architektonicznego, mieliśmy na myśli wykończenie ścian oznaczone w projekcie wykończenia wnętrz jako „surowy beton” (np. na sali B i sali A). Prosimy o informację, czy te ściany należy zaimpregnować? Jeśli tak to w jaki sposób?</w:t>
      </w:r>
    </w:p>
    <w:p w:rsidR="001353A9" w:rsidRPr="001353A9" w:rsidRDefault="001353A9" w:rsidP="001353A9">
      <w:pPr>
        <w:spacing w:line="276" w:lineRule="auto"/>
        <w:ind w:left="426"/>
        <w:jc w:val="both"/>
        <w:rPr>
          <w:rFonts w:ascii="Verdana" w:hAnsi="Verdana"/>
          <w:b/>
          <w:bCs/>
          <w:color w:val="000000"/>
        </w:rPr>
      </w:pPr>
      <w:r w:rsidRPr="001353A9">
        <w:rPr>
          <w:rFonts w:ascii="Verdana" w:hAnsi="Verdana"/>
          <w:b/>
        </w:rPr>
        <w:t xml:space="preserve">Odp.: Ściany z betonu należy impregnować, aby zredukować pylenie i zredukować skłonność do zabrudzeń betonu. Należy stosować środki zawierające </w:t>
      </w:r>
      <w:r w:rsidRPr="001353A9">
        <w:rPr>
          <w:rFonts w:ascii="Verdana" w:hAnsi="Verdana"/>
          <w:b/>
          <w:bCs/>
          <w:color w:val="000000"/>
        </w:rPr>
        <w:t>dodatki polimerowe, które mają dodatkowo właściwości</w:t>
      </w:r>
      <w:r w:rsidRPr="001353A9">
        <w:rPr>
          <w:rStyle w:val="Mocnowyrniony"/>
          <w:rFonts w:ascii="Verdana" w:hAnsi="Verdana"/>
          <w:color w:val="000000"/>
        </w:rPr>
        <w:t> zszywania</w:t>
      </w:r>
      <w:r w:rsidRPr="001353A9">
        <w:rPr>
          <w:rFonts w:ascii="Verdana" w:hAnsi="Verdana"/>
          <w:b/>
          <w:bCs/>
          <w:color w:val="000000"/>
        </w:rPr>
        <w:t> </w:t>
      </w:r>
      <w:r w:rsidRPr="001353A9">
        <w:rPr>
          <w:rStyle w:val="Mocnowyrniony"/>
          <w:rFonts w:ascii="Verdana" w:hAnsi="Verdana"/>
          <w:color w:val="000000"/>
        </w:rPr>
        <w:t>rys</w:t>
      </w:r>
      <w:r w:rsidRPr="001353A9">
        <w:rPr>
          <w:rFonts w:ascii="Verdana" w:hAnsi="Verdana"/>
          <w:b/>
          <w:bCs/>
          <w:color w:val="000000"/>
        </w:rPr>
        <w:t>, co zapobiega niszczeniu powierzchni betonowej.</w:t>
      </w:r>
    </w:p>
    <w:p w:rsidR="001353A9" w:rsidRPr="001353A9" w:rsidRDefault="001353A9" w:rsidP="001353A9">
      <w:pPr>
        <w:spacing w:line="276" w:lineRule="auto"/>
        <w:ind w:left="720"/>
        <w:jc w:val="both"/>
        <w:rPr>
          <w:rFonts w:ascii="Verdana" w:hAnsi="Verdana"/>
          <w:color w:val="00000A"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Prosimy o potwierdzenie, że folię w płynie należy uwzględnić na całej wysokości ścian w pomieszczeniach mokrych.</w:t>
      </w:r>
    </w:p>
    <w:p w:rsidR="001353A9" w:rsidRPr="001353A9" w:rsidRDefault="001353A9" w:rsidP="001353A9">
      <w:pPr>
        <w:spacing w:line="276" w:lineRule="auto"/>
        <w:ind w:left="360" w:firstLine="66"/>
        <w:jc w:val="both"/>
        <w:rPr>
          <w:rFonts w:ascii="Verdana" w:hAnsi="Verdana"/>
          <w:b/>
        </w:rPr>
      </w:pPr>
      <w:r w:rsidRPr="001353A9">
        <w:rPr>
          <w:rFonts w:ascii="Verdana" w:hAnsi="Verdana"/>
          <w:b/>
        </w:rPr>
        <w:t>Odp.: Tak, należy stosować pod wszystkie okładziny ceramiczne.</w:t>
      </w:r>
    </w:p>
    <w:p w:rsidR="001353A9" w:rsidRPr="001353A9" w:rsidRDefault="001353A9" w:rsidP="001353A9">
      <w:pPr>
        <w:spacing w:line="276" w:lineRule="auto"/>
        <w:ind w:left="360" w:firstLine="360"/>
        <w:rPr>
          <w:rFonts w:ascii="Verdana" w:hAnsi="Verdana"/>
          <w:b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Z uwagi na rozbieżności dot. wycieraczek zewnętrznych pomiędzy rysunkami A-42 oraz rzutem parteru rys. A-02, prosimy o informację o lokalizacji oraz wymiarach wycieraczek zewnętrznych.</w:t>
      </w:r>
    </w:p>
    <w:p w:rsidR="001353A9" w:rsidRPr="001353A9" w:rsidRDefault="001353A9" w:rsidP="001353A9">
      <w:pPr>
        <w:spacing w:line="276" w:lineRule="auto"/>
        <w:ind w:left="426"/>
        <w:jc w:val="both"/>
        <w:rPr>
          <w:rFonts w:ascii="Verdana" w:hAnsi="Verdana"/>
          <w:b/>
        </w:rPr>
      </w:pPr>
      <w:r w:rsidRPr="001353A9">
        <w:rPr>
          <w:rFonts w:ascii="Verdana" w:hAnsi="Verdana"/>
          <w:b/>
        </w:rPr>
        <w:t>Odp.: Wymiary wycieraczek i ich ilości należy przyjąć zgodnie z rys A-42. W budynku znajdują się 3 wycieraczki przed wejściami głównymi do budynku jedna przy wejściu od strony północnej (oś 13) oraz 2 przy wejściach z tarasu użytkowego na 3 piętrze.</w:t>
      </w:r>
    </w:p>
    <w:p w:rsidR="001353A9" w:rsidRPr="001353A9" w:rsidRDefault="001353A9" w:rsidP="001353A9">
      <w:pPr>
        <w:spacing w:line="276" w:lineRule="auto"/>
        <w:ind w:left="720"/>
        <w:rPr>
          <w:rFonts w:ascii="Verdana" w:hAnsi="Verdana"/>
          <w:b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W STWIOR jest informacja „W pomieszczeniach parteru i piętra – gładzie gipsowe na ścianach i sufitach” (strona 213). W związku z tym prosimy o informację:</w:t>
      </w:r>
    </w:p>
    <w:p w:rsidR="001353A9" w:rsidRPr="001353A9" w:rsidRDefault="001353A9" w:rsidP="001353A9">
      <w:pPr>
        <w:pStyle w:val="Akapitzlist"/>
        <w:spacing w:line="276" w:lineRule="auto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- czy we wszystkich pomieszczeniach parteru i piętra należy uwzględnić gładzie gipsowe?</w:t>
      </w:r>
    </w:p>
    <w:p w:rsidR="001353A9" w:rsidRPr="001353A9" w:rsidRDefault="001353A9" w:rsidP="001353A9">
      <w:pPr>
        <w:pStyle w:val="Akapitzlist"/>
        <w:spacing w:line="276" w:lineRule="auto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- którego piętra dotyczy powyższy opis?</w:t>
      </w:r>
    </w:p>
    <w:p w:rsidR="001353A9" w:rsidRPr="001353A9" w:rsidRDefault="001353A9" w:rsidP="001353A9">
      <w:pPr>
        <w:spacing w:line="276" w:lineRule="auto"/>
        <w:ind w:left="426"/>
        <w:rPr>
          <w:rFonts w:ascii="Verdana" w:hAnsi="Verdana"/>
        </w:rPr>
      </w:pPr>
      <w:r w:rsidRPr="001353A9">
        <w:rPr>
          <w:rFonts w:ascii="Verdana" w:hAnsi="Verdana"/>
          <w:b/>
        </w:rPr>
        <w:t>Odp.: Należy wykonać zgodnie z opisem architektury i opisem wnętrz:</w:t>
      </w:r>
    </w:p>
    <w:p w:rsidR="001353A9" w:rsidRPr="001353A9" w:rsidRDefault="001353A9" w:rsidP="001353A9">
      <w:pPr>
        <w:spacing w:line="276" w:lineRule="auto"/>
        <w:ind w:left="426"/>
        <w:jc w:val="both"/>
        <w:rPr>
          <w:rFonts w:ascii="Verdana" w:hAnsi="Verdana"/>
        </w:rPr>
      </w:pPr>
      <w:r w:rsidRPr="001353A9">
        <w:rPr>
          <w:rFonts w:ascii="Verdana" w:hAnsi="Verdana"/>
          <w:b/>
        </w:rPr>
        <w:t>T</w:t>
      </w:r>
      <w:r w:rsidRPr="001353A9">
        <w:rPr>
          <w:rFonts w:ascii="Verdana" w:hAnsi="Verdana"/>
          <w:b/>
          <w:bCs/>
        </w:rPr>
        <w:t>ynk cementowo – wapienny , grubość 1,5cm kl. IV, na wszystkich ścianach i sufitach (jeśli nie ma sufitów podwieszanych) pomieszczeń mokrych, podpiwniczeniu, zapleczu kuchennym, halach sportowych oraz wszystkich pomieszczeniach technicznych.</w:t>
      </w:r>
    </w:p>
    <w:p w:rsidR="001353A9" w:rsidRPr="001353A9" w:rsidRDefault="001353A9" w:rsidP="001353A9">
      <w:pPr>
        <w:spacing w:line="276" w:lineRule="auto"/>
        <w:ind w:left="426"/>
        <w:jc w:val="both"/>
        <w:rPr>
          <w:rFonts w:ascii="Verdana" w:hAnsi="Verdana"/>
          <w:b/>
          <w:bCs/>
        </w:rPr>
      </w:pPr>
      <w:r w:rsidRPr="001353A9">
        <w:rPr>
          <w:rFonts w:ascii="Verdana" w:hAnsi="Verdana"/>
          <w:b/>
          <w:bCs/>
        </w:rPr>
        <w:t>Tynk gipsowy o podwyższonej wytrzymałości na ściskanie grubość 10mm, na ścianach i sufitach (jeśli nie ma sufitów podwieszanych) hallu głównego, komunikacji, mniejszych salach ćwiczeń, pokojach administracyjnych.</w:t>
      </w:r>
    </w:p>
    <w:p w:rsidR="001353A9" w:rsidRPr="001353A9" w:rsidRDefault="001353A9" w:rsidP="001353A9">
      <w:pPr>
        <w:spacing w:line="276" w:lineRule="auto"/>
        <w:ind w:left="426"/>
        <w:jc w:val="both"/>
        <w:rPr>
          <w:rFonts w:ascii="Verdana" w:hAnsi="Verdana"/>
          <w:b/>
          <w:bCs/>
        </w:rPr>
      </w:pPr>
      <w:r w:rsidRPr="001353A9">
        <w:rPr>
          <w:rFonts w:ascii="Verdana" w:hAnsi="Verdana"/>
          <w:b/>
          <w:bCs/>
        </w:rPr>
        <w:t>Na tynku gipsowym zasadniczo należy nałożyć gładź gipsową.</w:t>
      </w:r>
    </w:p>
    <w:p w:rsidR="001353A9" w:rsidRPr="001353A9" w:rsidRDefault="001353A9" w:rsidP="001353A9">
      <w:pPr>
        <w:pStyle w:val="Akapitzlist"/>
        <w:spacing w:line="276" w:lineRule="auto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1353A9">
        <w:rPr>
          <w:rFonts w:ascii="Verdana" w:hAnsi="Verdana"/>
          <w:b/>
          <w:bCs/>
          <w:sz w:val="20"/>
          <w:szCs w:val="20"/>
        </w:rPr>
        <w:t xml:space="preserve">W przypadku starannego nałożenia tynku gipsowego, tak, aby nie było chropowatości i nierówności powierzchni, można zrezygnować z wykonania gładzi. Również przy stosowaniu pustaków silikatowych lub betonowych z pełną spoiną można zrezygnować z wykonania tynku – wystarczająca będzie gładź gipsowa a następnie malowanie. </w:t>
      </w:r>
    </w:p>
    <w:p w:rsidR="001353A9" w:rsidRPr="001353A9" w:rsidRDefault="001353A9" w:rsidP="001353A9">
      <w:pPr>
        <w:spacing w:line="276" w:lineRule="auto"/>
        <w:ind w:left="360"/>
        <w:rPr>
          <w:rFonts w:ascii="Verdana" w:hAnsi="Verdana"/>
        </w:rPr>
      </w:pPr>
    </w:p>
    <w:p w:rsidR="001353A9" w:rsidRPr="001353A9" w:rsidRDefault="001353A9" w:rsidP="001353A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1353A9">
        <w:rPr>
          <w:rFonts w:ascii="Verdana" w:hAnsi="Verdana"/>
          <w:sz w:val="20"/>
          <w:szCs w:val="20"/>
        </w:rPr>
        <w:t>Prosimy o potwierdzenie, że w pomieszczeniach, gdzie mają być wykonane gładzie gipsowe należy wykonać następujący układ warstw wykończeniowych: tynk + gładź gipsowa + farba.</w:t>
      </w:r>
    </w:p>
    <w:p w:rsidR="001353A9" w:rsidRPr="001353A9" w:rsidRDefault="001353A9" w:rsidP="001353A9">
      <w:pPr>
        <w:spacing w:line="276" w:lineRule="auto"/>
        <w:ind w:left="284"/>
        <w:jc w:val="both"/>
        <w:rPr>
          <w:rFonts w:ascii="Verdana" w:hAnsi="Verdana"/>
          <w:b/>
        </w:rPr>
      </w:pPr>
      <w:r w:rsidRPr="001353A9">
        <w:rPr>
          <w:rFonts w:ascii="Verdana" w:hAnsi="Verdana"/>
          <w:b/>
        </w:rPr>
        <w:t>Odp.: Na</w:t>
      </w:r>
      <w:r w:rsidRPr="001353A9">
        <w:rPr>
          <w:rFonts w:ascii="Verdana" w:hAnsi="Verdana"/>
          <w:b/>
          <w:bCs/>
        </w:rPr>
        <w:t xml:space="preserve"> tynku gipsowym zasadniczo należy nałożyć gładź gipsową.</w:t>
      </w:r>
    </w:p>
    <w:p w:rsidR="00943AEF" w:rsidRPr="001353A9" w:rsidRDefault="001353A9" w:rsidP="001353A9">
      <w:pPr>
        <w:spacing w:line="276" w:lineRule="auto"/>
        <w:ind w:left="284"/>
        <w:jc w:val="both"/>
        <w:rPr>
          <w:rFonts w:ascii="Verdana" w:hAnsi="Verdana"/>
          <w:b/>
          <w:bCs/>
        </w:rPr>
      </w:pPr>
      <w:r w:rsidRPr="001353A9">
        <w:rPr>
          <w:rFonts w:ascii="Verdana" w:hAnsi="Verdana"/>
          <w:b/>
          <w:bCs/>
        </w:rPr>
        <w:t>W przypadku starannego nałożenia tynku gipsowego, tak, aby nie było chropowatości i nierówności powierzchni, można zrezygnować z wykonania gładzi. Również przy stosowaniu pustaków silikatowych lub betonowych z pełną spoiną można zrezygnować z wykonania tynku – wystarczająca będzie gładź gipsowa a następnie malowanie.</w:t>
      </w:r>
    </w:p>
    <w:sectPr w:rsidR="00943AEF" w:rsidRPr="001353A9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712" w:rsidRDefault="00360712">
      <w:r>
        <w:separator/>
      </w:r>
    </w:p>
  </w:endnote>
  <w:endnote w:type="continuationSeparator" w:id="0">
    <w:p w:rsidR="00360712" w:rsidRDefault="00360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712" w:rsidRDefault="00360712">
      <w:r>
        <w:separator/>
      </w:r>
    </w:p>
  </w:footnote>
  <w:footnote w:type="continuationSeparator" w:id="0">
    <w:p w:rsidR="00360712" w:rsidRDefault="00360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8057F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8057F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24535"/>
    <w:multiLevelType w:val="multilevel"/>
    <w:tmpl w:val="68A2A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56114"/>
    <w:multiLevelType w:val="hybridMultilevel"/>
    <w:tmpl w:val="6F5C77B2"/>
    <w:lvl w:ilvl="0" w:tplc="7F3A4E0A">
      <w:start w:val="1"/>
      <w:numFmt w:val="bullet"/>
      <w:lvlText w:val="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479C5E48"/>
    <w:multiLevelType w:val="hybridMultilevel"/>
    <w:tmpl w:val="5C00EA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7308BD"/>
    <w:multiLevelType w:val="hybridMultilevel"/>
    <w:tmpl w:val="A31016BE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712"/>
    <w:rsid w:val="000607BF"/>
    <w:rsid w:val="000A2D5C"/>
    <w:rsid w:val="000C4220"/>
    <w:rsid w:val="000D254E"/>
    <w:rsid w:val="001102A4"/>
    <w:rsid w:val="00130D1C"/>
    <w:rsid w:val="001353A9"/>
    <w:rsid w:val="00180DBD"/>
    <w:rsid w:val="0021206B"/>
    <w:rsid w:val="002405E1"/>
    <w:rsid w:val="00315D72"/>
    <w:rsid w:val="00333103"/>
    <w:rsid w:val="00347E12"/>
    <w:rsid w:val="003607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057F4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B61C9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F1EFF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30D4CE83-4B5A-4C21-8FD8-0F8C63D8C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1EF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EF1EF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EF1EFF"/>
  </w:style>
  <w:style w:type="character" w:customStyle="1" w:styleId="Tekstpodstawowywcity3Znak">
    <w:name w:val="Tekst podstawowy wcięty 3 Znak"/>
    <w:link w:val="Tekstpodstawowywcity3"/>
    <w:rsid w:val="00EF1EFF"/>
    <w:rPr>
      <w:sz w:val="26"/>
    </w:rPr>
  </w:style>
  <w:style w:type="paragraph" w:styleId="Akapitzlist">
    <w:name w:val="List Paragraph"/>
    <w:basedOn w:val="Normalny"/>
    <w:qFormat/>
    <w:rsid w:val="001353A9"/>
    <w:pPr>
      <w:ind w:left="720"/>
      <w:contextualSpacing/>
    </w:pPr>
    <w:rPr>
      <w:color w:val="00000A"/>
      <w:sz w:val="24"/>
      <w:szCs w:val="24"/>
    </w:rPr>
  </w:style>
  <w:style w:type="character" w:customStyle="1" w:styleId="Mocnowyrniony">
    <w:name w:val="Mocno wyróżniony"/>
    <w:qFormat/>
    <w:rsid w:val="001353A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7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9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PLAN_BUDYNKU_SCHEMAT.psd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671</Words>
  <Characters>4296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2020-08-20T05:16:00Z</cp:lastPrinted>
  <dcterms:created xsi:type="dcterms:W3CDTF">2020-08-20T05:05:00Z</dcterms:created>
  <dcterms:modified xsi:type="dcterms:W3CDTF">2020-08-20T05:18:00Z</dcterms:modified>
</cp:coreProperties>
</file>