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E64186" w:rsidRPr="00E64186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64186" w:rsidRPr="00E64186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E64186" w:rsidRPr="00E64186">
        <w:rPr>
          <w:rFonts w:ascii="Verdana" w:hAnsi="Verdana"/>
          <w:sz w:val="16"/>
          <w:szCs w:val="16"/>
        </w:rPr>
        <w:t>2020-08-19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C72BCB">
        <w:rPr>
          <w:rFonts w:ascii="Verdana" w:hAnsi="Verdana"/>
          <w:sz w:val="20"/>
        </w:rPr>
        <w:t xml:space="preserve"> (43)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E64186" w:rsidRPr="00E64186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C72BCB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E64186" w:rsidRPr="00E64186">
        <w:rPr>
          <w:rFonts w:ascii="Verdana" w:hAnsi="Verdana"/>
          <w:b/>
          <w:sz w:val="20"/>
        </w:rPr>
        <w:t xml:space="preserve">Budowa wielofunkcyjnej Hali Sportowej AGH w Krakowie. </w:t>
      </w:r>
      <w:r w:rsidR="00C72BCB">
        <w:rPr>
          <w:rFonts w:ascii="Verdana" w:hAnsi="Verdana"/>
          <w:b/>
          <w:sz w:val="20"/>
        </w:rPr>
        <w:br/>
      </w:r>
      <w:r w:rsidR="00E64186" w:rsidRPr="00E64186">
        <w:rPr>
          <w:rFonts w:ascii="Verdana" w:hAnsi="Verdana"/>
          <w:b/>
          <w:sz w:val="20"/>
        </w:rPr>
        <w:t>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C72BCB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C72BCB" w:rsidRDefault="00C72BC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C72BCB" w:rsidRPr="00C72BCB" w:rsidRDefault="00C72BCB" w:rsidP="00C72BCB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IZOLACJE:</w:t>
      </w:r>
    </w:p>
    <w:p w:rsidR="00C72BCB" w:rsidRPr="00C72BCB" w:rsidRDefault="00C72BCB" w:rsidP="00C72BCB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Pozycja 145 przedmiaru: Uszczelnienie ścian fundamentowych jest zaniżona o ok. 212 m2. Prosimy o informację, w której pozycji należy uwzględnić brakujące ilości.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Pozycje 149-152 przedmiaru są zaniżone o ok. 268 m2. Prosimy o informację, w której pozycji należy uwzględnić brakujące ilości.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Zgodnie z przekazanym przedmiarem ilość izolacji ciężkiej dla ścian zewnętrznych wynosi 1323,98 m2 i jest zaniżona o około 190m2. Prosimy o informację, w której pozycji należy ująć brakującą ilość.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:rsidR="00C72BCB" w:rsidRPr="00C72BCB" w:rsidRDefault="00C72BCB" w:rsidP="00C72BCB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ROBOTY WYKOŃCZENIOWE: </w:t>
      </w:r>
    </w:p>
    <w:p w:rsidR="00C72BCB" w:rsidRPr="00C72BCB" w:rsidRDefault="00C72BCB" w:rsidP="00C72BCB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Na rysunkach dotyczących architektury wnętrz brak pomieszczeń 1.23 (fizjoterapia),  oraz 2.13 i 2.13A. Prosimy o uzupełnienie dokumentacji w zakresie </w:t>
      </w:r>
      <w:proofErr w:type="spellStart"/>
      <w:r w:rsidRPr="00C72BCB">
        <w:rPr>
          <w:rFonts w:ascii="Verdana" w:hAnsi="Verdana"/>
          <w:sz w:val="18"/>
          <w:szCs w:val="18"/>
        </w:rPr>
        <w:t>wykończeń</w:t>
      </w:r>
      <w:proofErr w:type="spellEnd"/>
      <w:r w:rsidRPr="00C72BCB">
        <w:rPr>
          <w:rFonts w:ascii="Verdana" w:hAnsi="Verdana"/>
          <w:sz w:val="18"/>
          <w:szCs w:val="18"/>
        </w:rPr>
        <w:t xml:space="preserve"> powyższych pomieszczeń.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lastRenderedPageBreak/>
        <w:t xml:space="preserve">Odp.: </w:t>
      </w:r>
      <w:r w:rsidRPr="00C72BCB">
        <w:rPr>
          <w:rFonts w:ascii="Verdana" w:hAnsi="Verdana"/>
          <w:b/>
          <w:bCs/>
          <w:sz w:val="18"/>
          <w:szCs w:val="18"/>
        </w:rPr>
        <w:t>Zgodnie z rysunkiem AW-35 – w pomieszczeniach  1.23, 1.24, 1.25 należy stosować taką samą posadzkę. W linku poniżej skorygowany rysunek, na którym poprawiono błąd pisarski dotyczący antypoślizgowości posadzki w części suchej.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C72BCB">
        <w:rPr>
          <w:rFonts w:ascii="Verdana" w:hAnsi="Verdana"/>
          <w:b/>
          <w:bCs/>
          <w:sz w:val="18"/>
          <w:szCs w:val="18"/>
        </w:rPr>
        <w:t>Ściany pomieszczeń – tynkowane, malowane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hyperlink r:id="rId7" w:history="1">
        <w:r w:rsidRPr="00C72BCB">
          <w:rPr>
            <w:rStyle w:val="Hipercze"/>
            <w:rFonts w:ascii="Verdana" w:hAnsi="Verdana"/>
            <w:b/>
            <w:sz w:val="18"/>
            <w:szCs w:val="18"/>
          </w:rPr>
          <w:t>http://di.adm.agh.edu.pl/public/mendyk/HS/AW-35_korekta.pdf</w:t>
        </w:r>
      </w:hyperlink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Prosimy o informację jakie wykończenie należy zastosować w przejściach pod trybunami ( wejścia do Sali A)?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Malowanie (farba lateksowa) kolor biały (oznaczenie S1)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Prosimy o wyjaśnienie jakie wykończenie znajduje się na załączonym rysunku </w:t>
      </w:r>
      <w:r w:rsidRPr="00C72BCB">
        <w:rPr>
          <w:rFonts w:ascii="Verdana" w:hAnsi="Verdana"/>
          <w:color w:val="000000"/>
          <w:sz w:val="18"/>
          <w:szCs w:val="18"/>
        </w:rPr>
        <w:t xml:space="preserve">AW-18 </w:t>
      </w:r>
      <w:r w:rsidRPr="00C72BCB">
        <w:rPr>
          <w:rFonts w:ascii="Verdana" w:hAnsi="Verdana"/>
          <w:sz w:val="18"/>
          <w:szCs w:val="18"/>
        </w:rPr>
        <w:t>(brak informacji na legendzie): </w:t>
      </w:r>
    </w:p>
    <w:p w:rsidR="00C72BCB" w:rsidRPr="00C72BCB" w:rsidRDefault="00C72BCB" w:rsidP="00C72BCB">
      <w:pPr>
        <w:pStyle w:val="paragraph"/>
        <w:spacing w:line="276" w:lineRule="auto"/>
        <w:ind w:left="720"/>
        <w:jc w:val="center"/>
        <w:textAlignment w:val="baseline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8" o:spid="_x0000_i1027" type="#_x0000_t75" style="width:208.5pt;height:164.25pt;visibility:visible;mso-wrap-style:square">
            <v:imagedata r:id="rId8" o:title="CEFD7A84"/>
          </v:shape>
        </w:pic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Zgodnie z oznaczeniem na rysunkach – ściana tynkowana, malowana  - kolor niebieski RAL 5012.</w:t>
      </w:r>
    </w:p>
    <w:p w:rsid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Prosimy o wyjaśnienie jakie  wykończenie zależy zastosować dla schodów w osi 13?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 xml:space="preserve">Odp.:  </w:t>
      </w:r>
    </w:p>
    <w:p w:rsidR="00C72BCB" w:rsidRPr="00C72BCB" w:rsidRDefault="00C72BCB" w:rsidP="00C72BCB">
      <w:pPr>
        <w:spacing w:line="276" w:lineRule="auto"/>
        <w:ind w:left="720"/>
        <w:jc w:val="both"/>
        <w:rPr>
          <w:rFonts w:ascii="Verdana" w:hAnsi="Verdana"/>
          <w:b/>
          <w:bCs/>
          <w:sz w:val="18"/>
          <w:szCs w:val="18"/>
        </w:rPr>
      </w:pPr>
      <w:r w:rsidRPr="00C72BCB">
        <w:rPr>
          <w:rFonts w:ascii="Verdana" w:hAnsi="Verdana"/>
          <w:b/>
          <w:bCs/>
          <w:sz w:val="18"/>
          <w:szCs w:val="18"/>
        </w:rPr>
        <w:t>Należy zastosować płytki z gresu porcelanowego barwionego w masie, kolor biały, powierzchnia naturalna, płytka imitująca kamień granitowy</w:t>
      </w:r>
    </w:p>
    <w:p w:rsidR="00C72BCB" w:rsidRPr="00C72BCB" w:rsidRDefault="00C72BCB" w:rsidP="00C72BCB">
      <w:pPr>
        <w:pStyle w:val="Akapitzlist"/>
        <w:numPr>
          <w:ilvl w:val="0"/>
          <w:numId w:val="2"/>
        </w:numPr>
        <w:spacing w:line="276" w:lineRule="auto"/>
        <w:ind w:left="1134"/>
        <w:rPr>
          <w:rFonts w:ascii="Verdana" w:hAnsi="Verdana"/>
          <w:b/>
          <w:bCs/>
          <w:sz w:val="18"/>
          <w:szCs w:val="18"/>
        </w:rPr>
      </w:pPr>
      <w:r w:rsidRPr="00C72BCB">
        <w:rPr>
          <w:rFonts w:ascii="Verdana" w:hAnsi="Verdana"/>
          <w:b/>
          <w:bCs/>
          <w:sz w:val="18"/>
          <w:szCs w:val="18"/>
        </w:rPr>
        <w:t>płytka antypoślizgowa: min. R 11</w:t>
      </w:r>
    </w:p>
    <w:p w:rsidR="00C72BCB" w:rsidRPr="00C72BCB" w:rsidRDefault="00C72BCB" w:rsidP="00C72BCB">
      <w:pPr>
        <w:pStyle w:val="Akapitzlist"/>
        <w:numPr>
          <w:ilvl w:val="0"/>
          <w:numId w:val="2"/>
        </w:numPr>
        <w:spacing w:line="276" w:lineRule="auto"/>
        <w:ind w:left="1134"/>
        <w:rPr>
          <w:rFonts w:ascii="Verdana" w:hAnsi="Verdana"/>
          <w:b/>
          <w:bCs/>
          <w:sz w:val="18"/>
          <w:szCs w:val="18"/>
        </w:rPr>
      </w:pPr>
      <w:r w:rsidRPr="00C72BCB">
        <w:rPr>
          <w:rFonts w:ascii="Verdana" w:hAnsi="Verdana"/>
          <w:b/>
          <w:bCs/>
          <w:sz w:val="18"/>
          <w:szCs w:val="18"/>
        </w:rPr>
        <w:t>nasiąkliwość poniżej 0,1%</w:t>
      </w:r>
    </w:p>
    <w:p w:rsidR="00C72BCB" w:rsidRPr="00C72BCB" w:rsidRDefault="00C72BCB" w:rsidP="00C72BCB">
      <w:pPr>
        <w:pStyle w:val="Akapitzlist"/>
        <w:numPr>
          <w:ilvl w:val="0"/>
          <w:numId w:val="2"/>
        </w:numPr>
        <w:spacing w:line="276" w:lineRule="auto"/>
        <w:ind w:left="1134"/>
        <w:rPr>
          <w:rFonts w:ascii="Verdana" w:hAnsi="Verdana"/>
          <w:b/>
          <w:bCs/>
          <w:sz w:val="18"/>
          <w:szCs w:val="18"/>
        </w:rPr>
      </w:pPr>
      <w:r w:rsidRPr="00C72BCB">
        <w:rPr>
          <w:rFonts w:ascii="Verdana" w:hAnsi="Verdana"/>
          <w:b/>
          <w:bCs/>
          <w:sz w:val="18"/>
          <w:szCs w:val="18"/>
        </w:rPr>
        <w:t>wytrzymałość na zginanie min. 45 N/mm2</w:t>
      </w:r>
    </w:p>
    <w:p w:rsidR="00C72BCB" w:rsidRPr="00C72BCB" w:rsidRDefault="00C72BCB" w:rsidP="00C72BCB">
      <w:pPr>
        <w:pStyle w:val="Akapitzlist"/>
        <w:numPr>
          <w:ilvl w:val="0"/>
          <w:numId w:val="2"/>
        </w:numPr>
        <w:spacing w:line="276" w:lineRule="auto"/>
        <w:ind w:left="1134"/>
        <w:rPr>
          <w:rFonts w:ascii="Verdana" w:hAnsi="Verdana"/>
          <w:b/>
          <w:bCs/>
          <w:sz w:val="18"/>
          <w:szCs w:val="18"/>
        </w:rPr>
      </w:pPr>
      <w:r w:rsidRPr="00C72BCB">
        <w:rPr>
          <w:rFonts w:ascii="Verdana" w:hAnsi="Verdana"/>
          <w:b/>
          <w:bCs/>
          <w:sz w:val="18"/>
          <w:szCs w:val="18"/>
        </w:rPr>
        <w:t>siła łamiąca min. 2500 N</w:t>
      </w:r>
    </w:p>
    <w:p w:rsidR="00C72BCB" w:rsidRPr="00C72BCB" w:rsidRDefault="00C72BCB" w:rsidP="00C72BCB">
      <w:pPr>
        <w:pStyle w:val="Akapitzlist"/>
        <w:numPr>
          <w:ilvl w:val="0"/>
          <w:numId w:val="2"/>
        </w:numPr>
        <w:spacing w:line="276" w:lineRule="auto"/>
        <w:ind w:left="1134"/>
        <w:rPr>
          <w:rFonts w:ascii="Verdana" w:hAnsi="Verdana"/>
          <w:b/>
          <w:bCs/>
          <w:sz w:val="18"/>
          <w:szCs w:val="18"/>
        </w:rPr>
      </w:pPr>
      <w:r w:rsidRPr="00C72BCB">
        <w:rPr>
          <w:rFonts w:ascii="Verdana" w:hAnsi="Verdana"/>
          <w:b/>
          <w:bCs/>
          <w:sz w:val="18"/>
          <w:szCs w:val="18"/>
        </w:rPr>
        <w:t>odporne na plamienie</w:t>
      </w:r>
    </w:p>
    <w:p w:rsidR="00C72BCB" w:rsidRPr="00C72BCB" w:rsidRDefault="00C72BCB" w:rsidP="00C72BCB">
      <w:pPr>
        <w:pStyle w:val="Akapitzlist"/>
        <w:numPr>
          <w:ilvl w:val="0"/>
          <w:numId w:val="2"/>
        </w:numPr>
        <w:spacing w:line="276" w:lineRule="auto"/>
        <w:ind w:left="1134"/>
        <w:rPr>
          <w:rFonts w:ascii="Verdana" w:hAnsi="Verdana"/>
          <w:b/>
          <w:bCs/>
          <w:sz w:val="18"/>
          <w:szCs w:val="18"/>
        </w:rPr>
      </w:pPr>
      <w:r w:rsidRPr="00C72BCB">
        <w:rPr>
          <w:rFonts w:ascii="Verdana" w:hAnsi="Verdana"/>
          <w:b/>
          <w:bCs/>
          <w:sz w:val="18"/>
          <w:szCs w:val="18"/>
        </w:rPr>
        <w:t>odporność chemiczna – ULA, UHA</w:t>
      </w:r>
    </w:p>
    <w:p w:rsidR="00C72BCB" w:rsidRPr="00C72BCB" w:rsidRDefault="00C72BCB" w:rsidP="00C72BCB">
      <w:pPr>
        <w:pStyle w:val="Akapitzlist"/>
        <w:numPr>
          <w:ilvl w:val="0"/>
          <w:numId w:val="2"/>
        </w:numPr>
        <w:spacing w:line="276" w:lineRule="auto"/>
        <w:ind w:left="1134"/>
        <w:jc w:val="both"/>
        <w:rPr>
          <w:rFonts w:ascii="Verdana" w:hAnsi="Verdana"/>
          <w:b/>
          <w:bCs/>
          <w:sz w:val="18"/>
          <w:szCs w:val="18"/>
        </w:rPr>
      </w:pPr>
      <w:r w:rsidRPr="00C72BCB">
        <w:rPr>
          <w:rFonts w:ascii="Verdana" w:hAnsi="Verdana"/>
          <w:b/>
          <w:bCs/>
          <w:sz w:val="18"/>
          <w:szCs w:val="18"/>
        </w:rPr>
        <w:t>płytka fabrycznie zabezpieczona przed brudzeniem (zamknięta struktura powierzchni);</w:t>
      </w:r>
    </w:p>
    <w:p w:rsidR="00C72BCB" w:rsidRPr="00C72BCB" w:rsidRDefault="00C72BCB" w:rsidP="00C72BCB">
      <w:pPr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lastRenderedPageBreak/>
        <w:t>Wg. Rzutów kondygnacji podziemnej dla ścian należy zastosować tynk cementowo-wapienny. W projekcie wnętrz nie ma informacji o jego wykończeniu. Prosimy o doprecyzowanie jak należy wykończyć tynk dla kondygnacji podziemnej.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 xml:space="preserve">Odp.: Zgodnie z opisem projektu wnętrz, pkt. 9.4,.9,5. - ściany  i sufity w pomieszczeniach w których  nie ma sufitów podwieszonych mają być malowane. Pomieszczenia techniczne farbą emulsyjną. Komunikacja – farbą lateksową. </w:t>
      </w:r>
      <w:r w:rsidRPr="00C72BCB">
        <w:rPr>
          <w:rFonts w:ascii="Verdana" w:eastAsia="Calibri" w:hAnsi="Verdana"/>
          <w:b/>
          <w:sz w:val="18"/>
          <w:szCs w:val="18"/>
          <w:lang w:eastAsia="en-US"/>
        </w:rPr>
        <w:t>W pomieszczeniu wymiennikowni należy założyć okładzinę ceramiczną do wys. min. 200cm (</w:t>
      </w:r>
      <w:proofErr w:type="spellStart"/>
      <w:r w:rsidRPr="00C72BCB">
        <w:rPr>
          <w:rFonts w:ascii="Verdana" w:eastAsia="Calibri" w:hAnsi="Verdana"/>
          <w:b/>
          <w:sz w:val="18"/>
          <w:szCs w:val="18"/>
          <w:lang w:eastAsia="en-US"/>
        </w:rPr>
        <w:t>pł</w:t>
      </w:r>
      <w:proofErr w:type="spellEnd"/>
      <w:r w:rsidRPr="00C72BCB">
        <w:rPr>
          <w:rFonts w:ascii="Verdana" w:eastAsia="Calibri" w:hAnsi="Verdana"/>
          <w:b/>
          <w:sz w:val="18"/>
          <w:szCs w:val="18"/>
          <w:lang w:eastAsia="en-US"/>
        </w:rPr>
        <w:t>. gres analogiczne jak na posadzkę pom. technicznych -zgodnie z opisem proj. wnętrz pkt. 8.2.8– nie jest wymagana antypoślizgowość dla płytek ściennych).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Na jakiej wysokości znajdują się sufity podwieszane w Halach? Do jakiego poziomu należy przyjąć wykończenie płytami MDF oraz tynkiem akustycznym?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Sufity podwieszane znajdują się 10 cm poniżej blachy trapezowej (łącznie z konstrukcją i grubością stropu) – wysokość sufitu zmienna- zgodnie ze spadkiem dachu.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 xml:space="preserve">Płyty MDF znajdują się na trybunach od </w:t>
      </w:r>
      <w:proofErr w:type="spellStart"/>
      <w:r w:rsidRPr="00C72BCB">
        <w:rPr>
          <w:rFonts w:ascii="Verdana" w:hAnsi="Verdana"/>
          <w:b/>
          <w:sz w:val="18"/>
          <w:szCs w:val="18"/>
        </w:rPr>
        <w:t>wys</w:t>
      </w:r>
      <w:proofErr w:type="spellEnd"/>
      <w:r w:rsidRPr="00C72BCB">
        <w:rPr>
          <w:rFonts w:ascii="Verdana" w:hAnsi="Verdana"/>
          <w:b/>
          <w:sz w:val="18"/>
          <w:szCs w:val="18"/>
        </w:rPr>
        <w:t xml:space="preserve"> +4,08 do poz. +9,10;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Tynk akustyczny w hali A -  na całej wysokości ściany w osi A i w osi 13;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Tynk akustyczny w hali B – na ścianie w osi K od poz. +4,01 do sufitu podwieszanego, w osi P – od poz. 0,00 do sufitu podwieszanego;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Jaka jest grubość ścian murowanych kanałów nawiewnych w osi  P? Wg. Rzutów dwie ścianki o grubości 20 cm i jedna o grubości 10 cm wg. Przekroju równoległe ścianki o grubości 10 cm.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 Zgodnie z rzutami  - kanały przy osi  K (jedyne murowane kanały w hali B) -  dwie ścianki o grubości 20 cm i jedna o grubości 10 cm.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Prosimy o wskazanie lokalizacji oraz połączenia ściany murowanej z konstrukcją żelbetową klatki schodowej pomiędzy pomieszczeniami 2.14 i 2.09 . Na rzutach architektury połączenie wygląda w następujący sposób:</w:t>
      </w:r>
    </w:p>
    <w:p w:rsidR="00C72BCB" w:rsidRPr="00C72BCB" w:rsidRDefault="00C72BCB" w:rsidP="00C72BCB">
      <w:pPr>
        <w:spacing w:line="276" w:lineRule="auto"/>
        <w:jc w:val="center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noProof/>
          <w:sz w:val="18"/>
          <w:szCs w:val="18"/>
        </w:rPr>
        <w:lastRenderedPageBreak/>
        <w:pict>
          <v:shape id="Obraz 11" o:spid="_x0000_i1028" type="#_x0000_t75" style="width:342pt;height:198pt;visibility:visible;mso-wrap-style:square">
            <v:imagedata r:id="rId9" o:title="6656B732"/>
          </v:shape>
        </w:pict>
      </w:r>
    </w:p>
    <w:p w:rsidR="00C72BCB" w:rsidRPr="00C72BCB" w:rsidRDefault="00C72BCB" w:rsidP="00C72BCB">
      <w:pPr>
        <w:spacing w:line="276" w:lineRule="auto"/>
        <w:ind w:left="720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Natomiast na projekcie wnętrz ściana licuje się z konstrukcją żelbetową. </w:t>
      </w:r>
    </w:p>
    <w:p w:rsidR="00C72BCB" w:rsidRPr="00C72BCB" w:rsidRDefault="00C72BCB" w:rsidP="00C72BCB">
      <w:pPr>
        <w:spacing w:line="276" w:lineRule="auto"/>
        <w:jc w:val="center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noProof/>
          <w:sz w:val="18"/>
          <w:szCs w:val="18"/>
        </w:rPr>
        <w:pict>
          <v:shape id="Obraz 12" o:spid="_x0000_i1029" type="#_x0000_t75" style="width:147.75pt;height:225.75pt;visibility:visible;mso-wrap-style:square">
            <v:imagedata r:id="rId10" o:title="4A1E4E10"/>
          </v:shape>
        </w:pic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 xml:space="preserve">Odp.: 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 xml:space="preserve">Należy wykonać zgodnie z rysunkami architektonicznymi. Na rysunkach został pokazany szraf ściany żelbetowej – zgodnie z projektem konstrukcji, część </w:t>
      </w:r>
      <w:proofErr w:type="spellStart"/>
      <w:r w:rsidRPr="00C72BCB">
        <w:rPr>
          <w:rFonts w:ascii="Verdana" w:hAnsi="Verdana"/>
          <w:b/>
          <w:sz w:val="18"/>
          <w:szCs w:val="18"/>
        </w:rPr>
        <w:t>niezaszrafowana</w:t>
      </w:r>
      <w:proofErr w:type="spellEnd"/>
      <w:r w:rsidRPr="00C72BCB">
        <w:rPr>
          <w:rFonts w:ascii="Verdana" w:hAnsi="Verdana"/>
          <w:b/>
          <w:sz w:val="18"/>
          <w:szCs w:val="18"/>
        </w:rPr>
        <w:t xml:space="preserve"> – dotyczy domurowania z pustaków analogicznych jak ściany działowe. 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Projekt wnętrz nie precyzuje z czego są ściany, stropy ale jakie są na nich okładziny.</w:t>
      </w:r>
    </w:p>
    <w:p w:rsidR="00C72BCB" w:rsidRPr="00C72BCB" w:rsidRDefault="00C72BCB" w:rsidP="00C72BCB">
      <w:pPr>
        <w:spacing w:line="276" w:lineRule="auto"/>
        <w:jc w:val="center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Ilość płyt z betonu architektonicznego w przedmiarze jest zaniżona o ok. 200m2. Prosimy o informację gdzie należy ująć brakującą ilość.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lastRenderedPageBreak/>
        <w:t xml:space="preserve">Zgodnie z przekazanym przedmiarem powierzchnia izolacji rampy zjazdowej do garażu wynosi 130,61 m2 i jest zaniżona o około 70m2. Prosimy o informację, w której pozycji należy przewidzieć brakującą ilość. 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Przekazany przedmiar nie obejmuje wywinięcia hydroizolacji rampy zjazdowej do garażu na ściany (ilość około 30m2). Prosimy o informację, w której pozycji należy przewidzieć brakującą ilość. 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Posadzka sportowa w hali A. Zgodnie z rysunkami projektu architektury warstwy posadzki sportowej ułożone są za pomocą podkładek elastycznych bezpośrednio na wylewce wykonanej na stropie. Dla wylewki żelbetowej nie ma wydanego zbrojenia, dlatego prosimy o potwierdzenie, że do wyceny należy przyjąć wylewkę cementową (przekrój przez warstwy P9 zawiera pozycję „wylewka żelbetowa o gr. 4,3cm). 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Tak należy przyjąć do wyceny wylewkę cementową.</w:t>
      </w:r>
    </w:p>
    <w:p w:rsidR="00C72BCB" w:rsidRPr="00C72BCB" w:rsidRDefault="00C72BCB" w:rsidP="00C72BCB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ELEWACJA:</w:t>
      </w:r>
    </w:p>
    <w:p w:rsidR="00C72BCB" w:rsidRPr="00C72BCB" w:rsidRDefault="00C72BCB" w:rsidP="00C72BCB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Proszę o wyjaśnienie jaka okładzina zaprojektowana jest na słupach A-B/1-3 na poziomie +1 i +2 gdyż na rysunki podkonstrukcji elewacji z okładziną z włókno-cementu ( rys A-43-46w) pokazana jest tylko okładzina w jednej płaszczyźnie ( prawdopodobnie czołowa w osi A i 1  ) a nie wydane są boki słupów, ich tył oraz elewacja w osi B i 3. Na rysunkach zestawczych nie wyodrębniona jest także okładzina czołowa okręgu wokół drzewa na 1p oraz okładziny sufitu/podcień nad poziomem 0 w osi A-I/1-3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Okładzina pionowa na okręgu wokół drzewa – z blachy stalowej powlekanej w kolorze analogicznym jak płyty okładzinowe. Zgodnie ze skorygowany rys. A-47w (w linku poniżej). Okładzina sufitu/podcień nad poziomem 0 w osi A-I/1-3 została pokazana na skorygowanym rys. A-46w.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hyperlink r:id="rId11" w:history="1">
        <w:r w:rsidRPr="00C72BCB">
          <w:rPr>
            <w:rStyle w:val="Hipercze"/>
            <w:rFonts w:ascii="Verdana" w:hAnsi="Verdana"/>
            <w:b/>
            <w:sz w:val="18"/>
            <w:szCs w:val="18"/>
          </w:rPr>
          <w:t>http://di.adm.agh.edu.pl/public/mendyk/HS/A-46w_korekta.pdf</w:t>
        </w:r>
      </w:hyperlink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hyperlink r:id="rId12" w:history="1">
        <w:r w:rsidRPr="00C72BCB">
          <w:rPr>
            <w:rStyle w:val="Hipercze"/>
            <w:rFonts w:ascii="Verdana" w:hAnsi="Verdana"/>
            <w:b/>
            <w:sz w:val="18"/>
            <w:szCs w:val="18"/>
          </w:rPr>
          <w:t>http://di.adm.agh.edu.pl/public/mendyk/HS/A-47w_korekta.pdf</w:t>
        </w:r>
      </w:hyperlink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Proszę o wyjaśnienie jak mają zostać wykończone ściany klatki schodowej zewnętrznej z poziomu -1 na poziom 0 w osi A-B/13 od strony biegu schodowego. Jaka nakrywa jest przewidziana na murkach?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 Ściany klatki zewnętrznej -tynkowane.  Nakrywa murku  - obróbka blacharska na płycie OSB.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Na detalu A-47w widnieją </w:t>
      </w:r>
      <w:proofErr w:type="spellStart"/>
      <w:r w:rsidRPr="00C72BCB">
        <w:rPr>
          <w:rFonts w:ascii="Verdana" w:hAnsi="Verdana"/>
          <w:sz w:val="18"/>
          <w:szCs w:val="18"/>
        </w:rPr>
        <w:t>szpalety</w:t>
      </w:r>
      <w:proofErr w:type="spellEnd"/>
      <w:r w:rsidRPr="00C72BCB">
        <w:rPr>
          <w:rFonts w:ascii="Verdana" w:hAnsi="Verdana"/>
          <w:sz w:val="18"/>
          <w:szCs w:val="18"/>
        </w:rPr>
        <w:t xml:space="preserve"> okienne zewnętrzne przy zestawie aluminiowym jako blaszane ( </w:t>
      </w:r>
      <w:proofErr w:type="spellStart"/>
      <w:r w:rsidRPr="00C72BCB">
        <w:rPr>
          <w:rFonts w:ascii="Verdana" w:hAnsi="Verdana"/>
          <w:sz w:val="18"/>
          <w:szCs w:val="18"/>
        </w:rPr>
        <w:t>szpaleta</w:t>
      </w:r>
      <w:proofErr w:type="spellEnd"/>
      <w:r w:rsidRPr="00C72BCB">
        <w:rPr>
          <w:rFonts w:ascii="Verdana" w:hAnsi="Verdana"/>
          <w:sz w:val="18"/>
          <w:szCs w:val="18"/>
        </w:rPr>
        <w:t xml:space="preserve"> górna ). Proszę o doprecyzowanie gdzie na elewacjach </w:t>
      </w:r>
      <w:proofErr w:type="spellStart"/>
      <w:r w:rsidRPr="00C72BCB">
        <w:rPr>
          <w:rFonts w:ascii="Verdana" w:hAnsi="Verdana"/>
          <w:sz w:val="18"/>
          <w:szCs w:val="18"/>
        </w:rPr>
        <w:t>szpalety</w:t>
      </w:r>
      <w:proofErr w:type="spellEnd"/>
      <w:r w:rsidRPr="00C72BCB">
        <w:rPr>
          <w:rFonts w:ascii="Verdana" w:hAnsi="Verdana"/>
          <w:sz w:val="18"/>
          <w:szCs w:val="18"/>
        </w:rPr>
        <w:t xml:space="preserve"> maja być z blachy a gdzie z płyt z włókno-cementu.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lastRenderedPageBreak/>
        <w:t xml:space="preserve">Odp.: Należy stosować </w:t>
      </w:r>
      <w:proofErr w:type="spellStart"/>
      <w:r w:rsidRPr="00C72BCB">
        <w:rPr>
          <w:rFonts w:ascii="Verdana" w:hAnsi="Verdana"/>
          <w:b/>
          <w:sz w:val="18"/>
          <w:szCs w:val="18"/>
        </w:rPr>
        <w:t>szpalety</w:t>
      </w:r>
      <w:proofErr w:type="spellEnd"/>
      <w:r w:rsidRPr="00C72BCB">
        <w:rPr>
          <w:rFonts w:ascii="Verdana" w:hAnsi="Verdana"/>
          <w:b/>
          <w:sz w:val="18"/>
          <w:szCs w:val="18"/>
        </w:rPr>
        <w:t xml:space="preserve"> okienne  z blachy – zarówno pionowe jak i poziome (górna).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Proszę o potwierdzenie, że murek w osi P/4 na poziomie terenu ma zostać wykonany z okładziną z płyt z włókno-cementu od strony zachodniej gdyż na rysunkach zestawczych okładzin wydana jest jego okładzina tylko od strony wschodniej ( rys A-45w). Jaka nakrywa jest przewidziana na murku?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 xml:space="preserve">Odp.: Tak, murek w osi P ma okładzinę z płyt włókno - cementowych jedynie od strony wschodniej. Od góry – płyty betonowe gr. ok. 5cm z kapinosem. 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Na rysunkach zestawów aluminiowych występuje informacja „wszystkie parapety należy wyposażyć w ochronę przed ptakami”. Prosimy o doprecyzowanie jakie zabezpieczenie należy zastosować oraz, w której pozycji należy uwzględnić te elementy?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 xml:space="preserve">Odp.: </w:t>
      </w:r>
      <w:bookmarkStart w:id="0" w:name="__DdeLink__3777_2453944054"/>
      <w:r w:rsidRPr="00C72BCB">
        <w:rPr>
          <w:rFonts w:ascii="Verdana" w:hAnsi="Verdana"/>
          <w:b/>
          <w:sz w:val="18"/>
          <w:szCs w:val="18"/>
        </w:rPr>
        <w:t>Parapety należy wyposażyć w spirale zabezpieczające lub bolce uniemożliwiające siadanie i gniazdowanie ptaków.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Należy przewidz</w:t>
      </w:r>
      <w:r w:rsidRPr="00C72BCB">
        <w:rPr>
          <w:rFonts w:ascii="Verdana" w:hAnsi="Verdana"/>
          <w:b/>
          <w:bCs/>
          <w:color w:val="000000"/>
          <w:sz w:val="18"/>
          <w:szCs w:val="18"/>
        </w:rPr>
        <w:t>ieć kolce zabezpieczające z prętów metalowych ze sprężystego drutu ze stali kwasoodpornej osadzonych na bezbarwnej podstawie wykonanej z poliwęglanu o podwyższonej wytrzymałości, odpornego na działanie słońca, warunków atmosferycznych oraz niskich i wysokich temperatur. Kolce mają mieć tępe aby nie powodować ranienia ptaków. Alternatywnie dopuszcza się stosowanie spirali zabezpieczających składających się z wygiętych w okrągłe lub owalne kształty odcinków drutu zamocowanego na podstawkach z poliwęglanu tworzących podłużną spiralę.</w:t>
      </w:r>
      <w:bookmarkEnd w:id="0"/>
      <w:r w:rsidRPr="00C72BCB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:rsidR="00C72BCB" w:rsidRPr="00C72BCB" w:rsidRDefault="00C72BCB" w:rsidP="00C72BCB">
      <w:pPr>
        <w:spacing w:line="276" w:lineRule="auto"/>
        <w:jc w:val="both"/>
        <w:rPr>
          <w:rFonts w:ascii="Verdana" w:hAnsi="Verdana"/>
          <w:b/>
          <w:bCs/>
          <w:color w:val="000000"/>
          <w:sz w:val="18"/>
          <w:szCs w:val="18"/>
        </w:rPr>
      </w:pPr>
    </w:p>
    <w:p w:rsidR="00C72BCB" w:rsidRPr="00C72BCB" w:rsidRDefault="00C72BCB" w:rsidP="00C72BCB">
      <w:pPr>
        <w:spacing w:line="276" w:lineRule="auto"/>
        <w:jc w:val="both"/>
        <w:rPr>
          <w:rFonts w:ascii="Verdana" w:hAnsi="Verdana"/>
          <w:color w:val="000000"/>
          <w:sz w:val="18"/>
          <w:szCs w:val="18"/>
        </w:rPr>
      </w:pPr>
      <w:r w:rsidRPr="00C72BCB">
        <w:rPr>
          <w:rFonts w:ascii="Verdana" w:hAnsi="Verdana"/>
          <w:color w:val="000000"/>
          <w:sz w:val="18"/>
          <w:szCs w:val="18"/>
        </w:rPr>
        <w:t>INSTALACJE SANITARNE</w:t>
      </w:r>
    </w:p>
    <w:p w:rsidR="00C72BCB" w:rsidRPr="00C72BCB" w:rsidRDefault="00C72BCB" w:rsidP="00C72BCB">
      <w:pPr>
        <w:spacing w:line="276" w:lineRule="auto"/>
        <w:jc w:val="both"/>
        <w:rPr>
          <w:rFonts w:ascii="Verdana" w:hAnsi="Verdana"/>
          <w:color w:val="000000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Czy dostawa węzła ciepła jest objęta przetargiem ? Węzeł nie występuje w przedmiarze.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Węzeł cieplny zostanie wykonany przez MPEC – nie należy go wyceniać. Granica wykonania węzła cieplnego (po stronie MPEC) i instalacji wewnętrznej (po stronie Wykonawcy) jest zaznaczona na rysunku S-C-01 schemat technologiczny węzła.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Brak w przedmiarze grzejników elektrycznych (12 szt.). Prosimy o wyjaśnienie czy grzejniki elektryczne są w zakresie GW? 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Tak, należy wykonać grzejniki elektryczne zgodnie z projektem.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Brak w przedmiarze grzejników łazienkowych (5 szt.). Prosimy o wyjaśnienie czy grzejniki łazienkowe są w zakresie GW? 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Tak, należy wykonać grzejniki łazienkowe zgodnie z projektem.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Na instalacji grzewczej występują różnice pomiędzy przedmiarem a dokumentacją w ilościach rur stalowych :</w:t>
      </w:r>
    </w:p>
    <w:tbl>
      <w:tblPr>
        <w:tblW w:w="7380" w:type="dxa"/>
        <w:jc w:val="center"/>
        <w:tblBorders>
          <w:top w:val="single" w:sz="8" w:space="0" w:color="00000A"/>
          <w:left w:val="single" w:sz="8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0" w:type="dxa"/>
          <w:right w:w="70" w:type="dxa"/>
        </w:tblCellMar>
        <w:tblLook w:val="04A0" w:firstRow="1" w:lastRow="0" w:firstColumn="1" w:lastColumn="0" w:noHBand="0" w:noVBand="1"/>
      </w:tblPr>
      <w:tblGrid>
        <w:gridCol w:w="3981"/>
        <w:gridCol w:w="960"/>
        <w:gridCol w:w="1180"/>
        <w:gridCol w:w="1259"/>
      </w:tblGrid>
      <w:tr w:rsidR="00C72BCB" w:rsidRPr="00C72BCB" w:rsidTr="00C72BCB">
        <w:trPr>
          <w:trHeight w:val="288"/>
          <w:jc w:val="center"/>
        </w:trPr>
        <w:tc>
          <w:tcPr>
            <w:tcW w:w="3980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vAlign w:val="bottom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40" w:type="dxa"/>
              <w:bottom w:w="0" w:type="dxa"/>
              <w:right w:w="70" w:type="dxa"/>
            </w:tcMar>
            <w:vAlign w:val="bottom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single" w:sz="8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40" w:type="dxa"/>
              <w:bottom w:w="0" w:type="dxa"/>
              <w:right w:w="70" w:type="dxa"/>
            </w:tcMar>
            <w:vAlign w:val="bottom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Przedmiar</w:t>
            </w:r>
          </w:p>
        </w:tc>
        <w:tc>
          <w:tcPr>
            <w:tcW w:w="1259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9" w:type="dxa"/>
              <w:bottom w:w="0" w:type="dxa"/>
              <w:right w:w="70" w:type="dxa"/>
            </w:tcMar>
            <w:vAlign w:val="bottom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Projekt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398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stalowe o połączeniach spawanych z kształtkami, Dnˇ15ˇmm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40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1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40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84,3</w:t>
            </w:r>
          </w:p>
        </w:tc>
        <w:tc>
          <w:tcPr>
            <w:tcW w:w="125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9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101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398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stalowe o połączeniach spawanych z kształtkami, Dnˇ20ˇmm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40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1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40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18,1</w:t>
            </w:r>
          </w:p>
        </w:tc>
        <w:tc>
          <w:tcPr>
            <w:tcW w:w="125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9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172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398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stalowe o połączeniach spawanych z kształtkami, Dnˇ25ˇmm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40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1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40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25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9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48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398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stalowe o połączeniach spawanych z kształtkami, Dnˇ32ˇmm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40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1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40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9,4</w:t>
            </w:r>
          </w:p>
        </w:tc>
        <w:tc>
          <w:tcPr>
            <w:tcW w:w="125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9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56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398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stalowe o połączeniach spawanych z kształtkami, Dnˇ40ˇmm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40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1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40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8,5</w:t>
            </w:r>
          </w:p>
        </w:tc>
        <w:tc>
          <w:tcPr>
            <w:tcW w:w="125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9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29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398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stalowe o połączeniach spawanych z kształtkami, Dnˇ50ˇmm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40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1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40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365,1</w:t>
            </w:r>
          </w:p>
        </w:tc>
        <w:tc>
          <w:tcPr>
            <w:tcW w:w="125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9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290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398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stalowe o połączeniach spawanych z kształtkami, Dnˇ65ˇmm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40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1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40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120,5</w:t>
            </w:r>
          </w:p>
        </w:tc>
        <w:tc>
          <w:tcPr>
            <w:tcW w:w="125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9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142</w:t>
            </w:r>
          </w:p>
        </w:tc>
      </w:tr>
      <w:tr w:rsidR="00C72BCB" w:rsidRPr="00C72BCB" w:rsidTr="00C72BCB">
        <w:trPr>
          <w:trHeight w:val="420"/>
          <w:jc w:val="center"/>
        </w:trPr>
        <w:tc>
          <w:tcPr>
            <w:tcW w:w="398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stalowe o połączeniach spawanych z kształtkami, Dnˇ80ˇmm</w:t>
            </w:r>
          </w:p>
        </w:tc>
        <w:tc>
          <w:tcPr>
            <w:tcW w:w="960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tcMar>
              <w:top w:w="0" w:type="dxa"/>
              <w:left w:w="40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1180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tcMar>
              <w:top w:w="0" w:type="dxa"/>
              <w:left w:w="40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67,9</w:t>
            </w:r>
          </w:p>
        </w:tc>
        <w:tc>
          <w:tcPr>
            <w:tcW w:w="125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9" w:type="dxa"/>
              <w:bottom w:w="0" w:type="dxa"/>
              <w:right w:w="70" w:type="dxa"/>
            </w:tcMar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78</w:t>
            </w:r>
          </w:p>
        </w:tc>
      </w:tr>
    </w:tbl>
    <w:p w:rsidR="00C72BCB" w:rsidRPr="00C72BCB" w:rsidRDefault="00C72BCB" w:rsidP="00C72BCB">
      <w:pPr>
        <w:spacing w:line="276" w:lineRule="auto"/>
        <w:rPr>
          <w:rFonts w:ascii="Verdana" w:hAnsi="Verdana"/>
          <w:color w:val="00000A"/>
          <w:sz w:val="18"/>
          <w:szCs w:val="18"/>
        </w:rPr>
      </w:pPr>
    </w:p>
    <w:p w:rsidR="00C72BCB" w:rsidRPr="00C72BCB" w:rsidRDefault="00C72BCB" w:rsidP="00C72BCB">
      <w:pPr>
        <w:spacing w:line="276" w:lineRule="auto"/>
        <w:ind w:left="708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Dotyczy to również izolacji na tych przewodach.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</w:t>
      </w:r>
      <w:r w:rsidRPr="00C72BCB">
        <w:rPr>
          <w:rFonts w:ascii="Verdana" w:hAnsi="Verdana"/>
          <w:sz w:val="18"/>
          <w:szCs w:val="18"/>
        </w:rPr>
        <w:t xml:space="preserve"> </w:t>
      </w:r>
      <w:r w:rsidRPr="00C72BCB">
        <w:rPr>
          <w:rFonts w:ascii="Verdana" w:hAnsi="Verdana"/>
          <w:b/>
          <w:sz w:val="18"/>
          <w:szCs w:val="18"/>
        </w:rPr>
        <w:t>Przedmiar jest wyłącznie materiałem pomocniczym.</w:t>
      </w:r>
    </w:p>
    <w:p w:rsidR="00C72BCB" w:rsidRPr="00C72BCB" w:rsidRDefault="00C72BCB" w:rsidP="00C72BCB">
      <w:pPr>
        <w:spacing w:line="276" w:lineRule="auto"/>
        <w:ind w:left="708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Brak w przedmiarze instalacji klimatyzacji urządzeń dla chłodzenia serwerowni. Prosimy o wyjaśnienie czy powyższe elementy są w zakresie GW, jeśli tak prosimy o wskazanie,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b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Na instalacji klimatyzacji występują różnice pomiędzy przedmiarem a dokumentacją w ilościach rur stalowych :</w:t>
      </w:r>
    </w:p>
    <w:tbl>
      <w:tblPr>
        <w:tblW w:w="7800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35" w:type="dxa"/>
          <w:right w:w="70" w:type="dxa"/>
        </w:tblCellMar>
        <w:tblLook w:val="04A0" w:firstRow="1" w:lastRow="0" w:firstColumn="1" w:lastColumn="0" w:noHBand="0" w:noVBand="1"/>
      </w:tblPr>
      <w:tblGrid>
        <w:gridCol w:w="4922"/>
        <w:gridCol w:w="960"/>
        <w:gridCol w:w="961"/>
        <w:gridCol w:w="957"/>
      </w:tblGrid>
      <w:tr w:rsidR="00C72BCB" w:rsidRPr="00C72BCB" w:rsidTr="00C72BCB">
        <w:trPr>
          <w:trHeight w:val="408"/>
          <w:jc w:val="center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miedziane lutowane, połączenie elementów kapilarne - Rura miedziana 6,4ˇmm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176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miedziane lutowane, połączenie elementów kapilarne - Rura miedziana 9,5ˇmm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207,2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245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miedziane lutowane, połączenie elementów kapilarne - Rura miedziana 12,7ˇmm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188,9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284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miedziane lutowane, połączenie elementów kapilarne - Rura miedziana 15,9ˇmm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249,5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275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miedziane lutowane, połączenie elementów kapilarne - Rura miedziana 19,1ˇmm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132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miedziane lutowane, połączenie elementów kapilarne - Rura miedziana 22,2ˇmm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47,1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57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 xml:space="preserve">Rurociągi miedziane lutowane, połączenie </w:t>
            </w:r>
            <w:r w:rsidRPr="00C72BCB">
              <w:rPr>
                <w:rFonts w:ascii="Verdana" w:hAnsi="Verdana"/>
                <w:sz w:val="18"/>
                <w:szCs w:val="18"/>
              </w:rPr>
              <w:lastRenderedPageBreak/>
              <w:t>elementów kapilarne - Rura miedziana 25,4ˇmm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lastRenderedPageBreak/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31,1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86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miedziane lutowane, połączenie elementów kapilarne - Rura miedziana 28,6ˇmm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53,3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62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miedziane lutowane, połączenie elementów kapilarne - Rura miedziana 31,8ˇmm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62,9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153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miedziane lutowane, połączenie elementów kapilarne - Rura miedziana 35,0ˇmm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27,7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38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miedziane lutowane, połączenie elementów kapilarne - Rura miedziana 38,1ˇmm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9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4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miedziane lutowane, połączenie elementów kapilarne - Rura miedziana 42,0ˇmm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35</w:t>
            </w:r>
          </w:p>
        </w:tc>
      </w:tr>
    </w:tbl>
    <w:p w:rsidR="00C72BCB" w:rsidRPr="00C72BCB" w:rsidRDefault="00C72BCB" w:rsidP="00C72BCB">
      <w:pPr>
        <w:spacing w:line="276" w:lineRule="auto"/>
        <w:jc w:val="center"/>
        <w:rPr>
          <w:rFonts w:ascii="Verdana" w:hAnsi="Verdana"/>
          <w:color w:val="00000A"/>
          <w:sz w:val="18"/>
          <w:szCs w:val="18"/>
        </w:rPr>
      </w:pPr>
    </w:p>
    <w:p w:rsidR="00C72BCB" w:rsidRPr="00C72BCB" w:rsidRDefault="00C72BCB" w:rsidP="00C72BCB">
      <w:pPr>
        <w:spacing w:line="276" w:lineRule="auto"/>
        <w:ind w:left="708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Prosimy o informację, w której pozycji należy uwzględnić brakujące elementy?</w:t>
      </w:r>
    </w:p>
    <w:p w:rsidR="00C72BCB" w:rsidRPr="00C72BCB" w:rsidRDefault="00C72BCB" w:rsidP="00C72BCB">
      <w:pPr>
        <w:spacing w:line="276" w:lineRule="auto"/>
        <w:ind w:left="708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spacing w:line="276" w:lineRule="auto"/>
        <w:ind w:left="708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W przedmiarze instalacji wody brak rur nierdzewnych </w:t>
      </w:r>
      <w:proofErr w:type="spellStart"/>
      <w:r w:rsidRPr="00C72BCB">
        <w:rPr>
          <w:rFonts w:ascii="Verdana" w:hAnsi="Verdana"/>
          <w:sz w:val="18"/>
          <w:szCs w:val="18"/>
        </w:rPr>
        <w:t>dn</w:t>
      </w:r>
      <w:proofErr w:type="spellEnd"/>
      <w:r w:rsidRPr="00C72BCB">
        <w:rPr>
          <w:rFonts w:ascii="Verdana" w:hAnsi="Verdana"/>
          <w:sz w:val="18"/>
          <w:szCs w:val="18"/>
        </w:rPr>
        <w:t xml:space="preserve"> 12 mm w ilości 109,5 m. 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Prosimy o informację, w której pozycji należy uwzględnić brakujące elementy?</w:t>
      </w:r>
      <w:r w:rsidRPr="00C72BCB">
        <w:rPr>
          <w:rFonts w:ascii="Verdana" w:hAnsi="Verdana"/>
          <w:b/>
          <w:sz w:val="18"/>
          <w:szCs w:val="18"/>
        </w:rPr>
        <w:t xml:space="preserve"> </w:t>
      </w:r>
      <w:r w:rsidRPr="00C72BCB">
        <w:rPr>
          <w:rFonts w:ascii="Verdana" w:hAnsi="Verdana"/>
          <w:b/>
          <w:sz w:val="18"/>
          <w:szCs w:val="18"/>
        </w:rPr>
        <w:br/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Na instalacji wody występują różnice pomiędzy przedmiarem a dokumentacją w ilościach rur stalowych:</w:t>
      </w:r>
    </w:p>
    <w:tbl>
      <w:tblPr>
        <w:tblW w:w="7663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35" w:type="dxa"/>
          <w:right w:w="70" w:type="dxa"/>
        </w:tblCellMar>
        <w:tblLook w:val="04A0" w:firstRow="1" w:lastRow="0" w:firstColumn="1" w:lastColumn="0" w:noHBand="0" w:noVBand="1"/>
      </w:tblPr>
      <w:tblGrid>
        <w:gridCol w:w="4785"/>
        <w:gridCol w:w="960"/>
        <w:gridCol w:w="961"/>
        <w:gridCol w:w="957"/>
      </w:tblGrid>
      <w:tr w:rsidR="00C72BCB" w:rsidRPr="00C72BCB" w:rsidTr="00C72BCB">
        <w:trPr>
          <w:trHeight w:val="288"/>
          <w:jc w:val="center"/>
        </w:trPr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Rura stalowa nierdzewna z łącznikami i mocowaniami Dn15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612,3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1870</w:t>
            </w:r>
          </w:p>
        </w:tc>
      </w:tr>
      <w:tr w:rsidR="00C72BCB" w:rsidRPr="00C72BCB" w:rsidTr="00C72BCB">
        <w:trPr>
          <w:trHeight w:val="288"/>
          <w:jc w:val="center"/>
        </w:trPr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Rura stalowa nierdzewna z łącznikami i mocowaniami Dn28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158,4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248</w:t>
            </w:r>
          </w:p>
        </w:tc>
      </w:tr>
    </w:tbl>
    <w:p w:rsidR="00C72BCB" w:rsidRPr="00C72BCB" w:rsidRDefault="00C72BCB" w:rsidP="00C72BCB">
      <w:pPr>
        <w:spacing w:line="276" w:lineRule="auto"/>
        <w:ind w:firstLine="720"/>
        <w:jc w:val="both"/>
        <w:rPr>
          <w:rFonts w:ascii="Verdana" w:hAnsi="Verdana"/>
          <w:color w:val="00000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Prosimy o informację, w której pozycji należy uwzględnić brakujące elementy?</w:t>
      </w:r>
    </w:p>
    <w:p w:rsidR="00C72BCB" w:rsidRPr="00C72BCB" w:rsidRDefault="00C72BCB" w:rsidP="00C72BCB">
      <w:pPr>
        <w:spacing w:line="276" w:lineRule="auto"/>
        <w:ind w:firstLine="720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spacing w:line="276" w:lineRule="auto"/>
        <w:ind w:left="708" w:firstLine="360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Brak w przedmiarach przyłącza wody do budynku.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Brak w przedmiarach przyłącza kanalizacji sanitarnej.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W przedmiarze ujęto wyłącznie wpusty dachowe podwójne natomiast w projekcie występuje jeszcze 18 </w:t>
      </w:r>
      <w:proofErr w:type="spellStart"/>
      <w:r w:rsidRPr="00C72BCB">
        <w:rPr>
          <w:rFonts w:ascii="Verdana" w:hAnsi="Verdana"/>
          <w:sz w:val="18"/>
          <w:szCs w:val="18"/>
        </w:rPr>
        <w:t>szt</w:t>
      </w:r>
      <w:proofErr w:type="spellEnd"/>
      <w:r w:rsidRPr="00C72BCB">
        <w:rPr>
          <w:rFonts w:ascii="Verdana" w:hAnsi="Verdana"/>
          <w:sz w:val="18"/>
          <w:szCs w:val="18"/>
        </w:rPr>
        <w:t xml:space="preserve"> wpustów dachowych pojedynczych, podgrzewanych które nie są ujęte w przedmiarze.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lastRenderedPageBreak/>
        <w:t xml:space="preserve">Brak w przedmiarze </w:t>
      </w:r>
      <w:proofErr w:type="spellStart"/>
      <w:r w:rsidRPr="00C72BCB">
        <w:rPr>
          <w:rFonts w:ascii="Verdana" w:hAnsi="Verdana"/>
          <w:sz w:val="18"/>
          <w:szCs w:val="18"/>
        </w:rPr>
        <w:t>odwodnień</w:t>
      </w:r>
      <w:proofErr w:type="spellEnd"/>
      <w:r w:rsidRPr="00C72BCB">
        <w:rPr>
          <w:rFonts w:ascii="Verdana" w:hAnsi="Verdana"/>
          <w:sz w:val="18"/>
          <w:szCs w:val="18"/>
        </w:rPr>
        <w:t xml:space="preserve"> liniowych poza garażem. Zgodnie z projektem odwodnienia liniowego jest 385 </w:t>
      </w:r>
      <w:proofErr w:type="spellStart"/>
      <w:r w:rsidRPr="00C72BCB">
        <w:rPr>
          <w:rFonts w:ascii="Verdana" w:hAnsi="Verdana"/>
          <w:sz w:val="18"/>
          <w:szCs w:val="18"/>
        </w:rPr>
        <w:t>mb</w:t>
      </w:r>
      <w:proofErr w:type="spellEnd"/>
      <w:r w:rsidRPr="00C72BCB">
        <w:rPr>
          <w:rFonts w:ascii="Verdana" w:hAnsi="Verdana"/>
          <w:sz w:val="18"/>
          <w:szCs w:val="18"/>
        </w:rPr>
        <w:t xml:space="preserve"> a nie 306 </w:t>
      </w:r>
      <w:proofErr w:type="spellStart"/>
      <w:r w:rsidRPr="00C72BCB">
        <w:rPr>
          <w:rFonts w:ascii="Verdana" w:hAnsi="Verdana"/>
          <w:sz w:val="18"/>
          <w:szCs w:val="18"/>
        </w:rPr>
        <w:t>mb</w:t>
      </w:r>
      <w:proofErr w:type="spellEnd"/>
      <w:r w:rsidRPr="00C72BCB">
        <w:rPr>
          <w:rFonts w:ascii="Verdana" w:hAnsi="Verdana"/>
          <w:sz w:val="18"/>
          <w:szCs w:val="18"/>
        </w:rPr>
        <w:t>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W przedmiarze jest 7 </w:t>
      </w:r>
      <w:proofErr w:type="spellStart"/>
      <w:r w:rsidRPr="00C72BCB">
        <w:rPr>
          <w:rFonts w:ascii="Verdana" w:hAnsi="Verdana"/>
          <w:sz w:val="18"/>
          <w:szCs w:val="18"/>
        </w:rPr>
        <w:t>szt</w:t>
      </w:r>
      <w:proofErr w:type="spellEnd"/>
      <w:r w:rsidRPr="00C72BCB">
        <w:rPr>
          <w:rFonts w:ascii="Verdana" w:hAnsi="Verdana"/>
          <w:sz w:val="18"/>
          <w:szCs w:val="18"/>
        </w:rPr>
        <w:t xml:space="preserve"> rur wywiewnych DN 110 mm na pionach kanalizacyjnych natomiast w projekcie jest 11 </w:t>
      </w:r>
      <w:proofErr w:type="spellStart"/>
      <w:r w:rsidRPr="00C72BCB">
        <w:rPr>
          <w:rFonts w:ascii="Verdana" w:hAnsi="Verdana"/>
          <w:sz w:val="18"/>
          <w:szCs w:val="18"/>
        </w:rPr>
        <w:t>szt</w:t>
      </w:r>
      <w:proofErr w:type="spellEnd"/>
      <w:r w:rsidRPr="00C72BCB">
        <w:rPr>
          <w:rFonts w:ascii="Verdana" w:hAnsi="Verdana"/>
          <w:sz w:val="18"/>
          <w:szCs w:val="18"/>
        </w:rPr>
        <w:t xml:space="preserve"> DN 160 mm.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projektem są 2 </w:t>
      </w:r>
      <w:proofErr w:type="spellStart"/>
      <w:r w:rsidRPr="00C72BCB">
        <w:rPr>
          <w:rFonts w:ascii="Verdana" w:hAnsi="Verdana"/>
          <w:sz w:val="18"/>
          <w:szCs w:val="18"/>
        </w:rPr>
        <w:t>szt</w:t>
      </w:r>
      <w:proofErr w:type="spellEnd"/>
      <w:r w:rsidRPr="00C72BCB">
        <w:rPr>
          <w:rFonts w:ascii="Verdana" w:hAnsi="Verdana"/>
          <w:sz w:val="18"/>
          <w:szCs w:val="18"/>
        </w:rPr>
        <w:t xml:space="preserve"> pomp zatapianych natomiast w przedmiarze ujęto 1 szt.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Brak w przedmiarze zestawu hydroforowego na cele bytowe.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b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projektem hydrantów DN25 w przedmiarze ujęto 10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a w zestawieniu materiałów 18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. Z uwagi na rozbieżności pomiędzy zestawieniem materiałów (18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.) a przedmiarem (10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>) prosimy o podanie prawidłowej ilości.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Instalacje hydrantową należy wykonać i wycenić zgodnie z projektem.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W projekcie są 3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przepompowni ścieków 5,0 dm3/s natomiast nie ma ich w przedmiarze.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W przedmiarze kanalizacji sanitarnej są ujęte rury w wykopach wewnątrz budynku przyjęte z rur PCV natomiast w projekcie te rury występują jako PEHD. Nie zgadzają się również ilości :</w:t>
      </w:r>
    </w:p>
    <w:tbl>
      <w:tblPr>
        <w:tblW w:w="7800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35" w:type="dxa"/>
          <w:right w:w="70" w:type="dxa"/>
        </w:tblCellMar>
        <w:tblLook w:val="04A0" w:firstRow="1" w:lastRow="0" w:firstColumn="1" w:lastColumn="0" w:noHBand="0" w:noVBand="1"/>
      </w:tblPr>
      <w:tblGrid>
        <w:gridCol w:w="4922"/>
        <w:gridCol w:w="960"/>
        <w:gridCol w:w="961"/>
        <w:gridCol w:w="957"/>
      </w:tblGrid>
      <w:tr w:rsidR="00C72BCB" w:rsidRPr="00C72BCB" w:rsidTr="00C72BCB">
        <w:trPr>
          <w:trHeight w:val="408"/>
          <w:jc w:val="center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z PVC kanalizacyjne, na ścianach w budynkach, na wcisk, Fiˇ110ˇmm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338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z PVC kanalizacyjne, na ścianach w budynkach, na wcisk, Fiˇ75ˇmm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71,2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86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z PVC kanalizacyjne, na ścianach w budynkach, na wcisk, Fiˇ50ˇmm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155,1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892</w:t>
            </w:r>
          </w:p>
        </w:tc>
      </w:tr>
    </w:tbl>
    <w:p w:rsidR="00C72BCB" w:rsidRPr="00C72BCB" w:rsidRDefault="00C72BCB" w:rsidP="00C72BCB">
      <w:pPr>
        <w:spacing w:line="276" w:lineRule="auto"/>
        <w:jc w:val="center"/>
        <w:rPr>
          <w:rFonts w:ascii="Verdana" w:hAnsi="Verdana"/>
          <w:color w:val="00000A"/>
          <w:sz w:val="18"/>
          <w:szCs w:val="18"/>
        </w:rPr>
      </w:pPr>
    </w:p>
    <w:p w:rsidR="00C72BCB" w:rsidRPr="00C72BCB" w:rsidRDefault="00C72BCB" w:rsidP="00C72BCB">
      <w:pPr>
        <w:spacing w:line="276" w:lineRule="auto"/>
        <w:ind w:left="709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Prosimy o informację, w której pozycji należy uwzględnić brakujące elementy oraz o doprecyzowanie z jakiego materiału mają zostać wykonane?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Rury w wykopach wewnątrz budynku wykonać i wycenić z materiału PEHD. Przedmiar jest wyłącznie materiałem pomocniczym.</w:t>
      </w:r>
    </w:p>
    <w:p w:rsidR="00C72BCB" w:rsidRPr="00C72BCB" w:rsidRDefault="00C72BCB" w:rsidP="00C72BCB">
      <w:pPr>
        <w:spacing w:line="276" w:lineRule="auto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Brak w przedmiarze instalacji skroplin.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</w:t>
      </w:r>
      <w:r w:rsidRPr="00C72BCB">
        <w:rPr>
          <w:rFonts w:ascii="Verdana" w:hAnsi="Verdana"/>
          <w:sz w:val="18"/>
          <w:szCs w:val="18"/>
        </w:rPr>
        <w:t xml:space="preserve"> </w:t>
      </w:r>
      <w:r w:rsidRPr="00C72BCB">
        <w:rPr>
          <w:rFonts w:ascii="Verdana" w:hAnsi="Verdana"/>
          <w:b/>
          <w:sz w:val="18"/>
          <w:szCs w:val="18"/>
        </w:rPr>
        <w:t>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Zgodnie z projektem kanalizację sanitarną należy wykonać z rur PP a podejścia kanalizacyjne do przyborów z rur niskoszumowych  Zgodnie z przedmiarem wszystkie rury są z PCV. Nie zgadzają się również ilości :</w:t>
      </w:r>
    </w:p>
    <w:tbl>
      <w:tblPr>
        <w:tblW w:w="7800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35" w:type="dxa"/>
          <w:right w:w="70" w:type="dxa"/>
        </w:tblCellMar>
        <w:tblLook w:val="04A0" w:firstRow="1" w:lastRow="0" w:firstColumn="1" w:lastColumn="0" w:noHBand="0" w:noVBand="1"/>
      </w:tblPr>
      <w:tblGrid>
        <w:gridCol w:w="4922"/>
        <w:gridCol w:w="960"/>
        <w:gridCol w:w="961"/>
        <w:gridCol w:w="957"/>
      </w:tblGrid>
      <w:tr w:rsidR="00C72BCB" w:rsidRPr="00C72BCB" w:rsidTr="00C72BCB">
        <w:trPr>
          <w:trHeight w:val="408"/>
          <w:jc w:val="center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z PVC kanalizacyjne w gotowych wykopach, wewnątrz budynków, na wcisk, Fiˇ160ˇmm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65,73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86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z PVC kanalizacyjne w gotowych wykopach, wewnątrz budynków, na wcisk, Fiˇ110ˇmm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5,4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25</w:t>
            </w:r>
          </w:p>
        </w:tc>
      </w:tr>
      <w:tr w:rsidR="00C72BCB" w:rsidRPr="00C72BCB" w:rsidTr="00C72BCB">
        <w:trPr>
          <w:trHeight w:val="408"/>
          <w:jc w:val="center"/>
        </w:trPr>
        <w:tc>
          <w:tcPr>
            <w:tcW w:w="4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rPr>
                <w:rFonts w:ascii="Verdana" w:hAnsi="Verdana"/>
                <w:color w:val="00000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Rurociągi z PVC kanalizacyjne w gotowych wykopach, wewnątrz budynków, na wcisk, Fiˇ50ˇmm</w:t>
            </w:r>
          </w:p>
        </w:tc>
        <w:tc>
          <w:tcPr>
            <w:tcW w:w="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72BCB">
              <w:rPr>
                <w:rFonts w:ascii="Verdana" w:hAnsi="Verdana"/>
                <w:sz w:val="18"/>
                <w:szCs w:val="18"/>
              </w:rPr>
              <w:t>m</w:t>
            </w:r>
          </w:p>
        </w:tc>
        <w:tc>
          <w:tcPr>
            <w:tcW w:w="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2,1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72BCB" w:rsidRPr="00C72BCB" w:rsidRDefault="00C72BCB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72BCB">
              <w:rPr>
                <w:rFonts w:ascii="Verdana" w:hAnsi="Verdana"/>
                <w:color w:val="000000"/>
                <w:sz w:val="18"/>
                <w:szCs w:val="18"/>
              </w:rPr>
              <w:t>8,5</w:t>
            </w:r>
          </w:p>
        </w:tc>
      </w:tr>
    </w:tbl>
    <w:p w:rsidR="00C72BCB" w:rsidRPr="00C72BCB" w:rsidRDefault="00C72BCB" w:rsidP="00C72BCB">
      <w:pPr>
        <w:spacing w:line="276" w:lineRule="auto"/>
        <w:jc w:val="center"/>
        <w:rPr>
          <w:rFonts w:ascii="Verdana" w:hAnsi="Verdana"/>
          <w:color w:val="00000A"/>
          <w:sz w:val="18"/>
          <w:szCs w:val="18"/>
        </w:rPr>
      </w:pPr>
    </w:p>
    <w:p w:rsidR="00C72BCB" w:rsidRPr="00C72BCB" w:rsidRDefault="00C72BCB" w:rsidP="00C72BCB">
      <w:pPr>
        <w:spacing w:line="276" w:lineRule="auto"/>
        <w:ind w:left="720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Ponadto brak w przedmiarze rury PP </w:t>
      </w:r>
      <w:proofErr w:type="spellStart"/>
      <w:r w:rsidRPr="00C72BCB">
        <w:rPr>
          <w:rFonts w:ascii="Verdana" w:hAnsi="Verdana"/>
          <w:sz w:val="18"/>
          <w:szCs w:val="18"/>
        </w:rPr>
        <w:t>dn</w:t>
      </w:r>
      <w:proofErr w:type="spellEnd"/>
      <w:r w:rsidRPr="00C72BCB">
        <w:rPr>
          <w:rFonts w:ascii="Verdana" w:hAnsi="Verdana"/>
          <w:sz w:val="18"/>
          <w:szCs w:val="18"/>
        </w:rPr>
        <w:t xml:space="preserve"> 160 mm  - 88 </w:t>
      </w:r>
      <w:proofErr w:type="spellStart"/>
      <w:r w:rsidRPr="00C72BCB">
        <w:rPr>
          <w:rFonts w:ascii="Verdana" w:hAnsi="Verdana"/>
          <w:sz w:val="18"/>
          <w:szCs w:val="18"/>
        </w:rPr>
        <w:t>mb</w:t>
      </w:r>
      <w:proofErr w:type="spellEnd"/>
      <w:r w:rsidRPr="00C72BCB">
        <w:rPr>
          <w:rFonts w:ascii="Verdana" w:hAnsi="Verdana"/>
          <w:sz w:val="18"/>
          <w:szCs w:val="18"/>
        </w:rPr>
        <w:t>. Prosimy o informację, w której pozycji należy uwzględnić brakujące elementy oraz o doprecyzowanie materiału, z którego mają zostać wykonane?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Kanalizację sanitarną należy wykonać i wycenić zgodnie z projektem. Przedmiar jest wyłącznie materiałem pomocniczym.</w:t>
      </w:r>
    </w:p>
    <w:p w:rsidR="00C72BCB" w:rsidRPr="00C72BCB" w:rsidRDefault="00C72BCB" w:rsidP="00C72BCB">
      <w:pPr>
        <w:spacing w:line="276" w:lineRule="auto"/>
        <w:ind w:left="360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Brak w przedmiarze zaworów napowietrzających na instalacji kanalizacji sanitarnej. Prosimy o informację, w której pozycji należy uwzględnić brakujące elementy?</w:t>
      </w:r>
    </w:p>
    <w:p w:rsidR="00C72BCB" w:rsidRPr="00C72BCB" w:rsidRDefault="00C72BCB" w:rsidP="00C72BCB">
      <w:pPr>
        <w:spacing w:line="276" w:lineRule="auto"/>
        <w:ind w:left="360" w:firstLine="360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Instalacja kanalizacji deszczowej zgodnie z projektem ma być wykonana z rur PE-HD, w przedmiarze są rur PCV. Brak jednak następujących rurociągów :</w:t>
      </w:r>
    </w:p>
    <w:p w:rsidR="00C72BCB" w:rsidRPr="00C72BCB" w:rsidRDefault="00C72BCB" w:rsidP="00C72BCB">
      <w:pPr>
        <w:pStyle w:val="Akapitzlist"/>
        <w:spacing w:line="276" w:lineRule="auto"/>
        <w:ind w:left="1068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- rura HDPE </w:t>
      </w:r>
      <w:proofErr w:type="spellStart"/>
      <w:r w:rsidRPr="00C72BCB">
        <w:rPr>
          <w:rFonts w:ascii="Verdana" w:hAnsi="Verdana"/>
          <w:sz w:val="18"/>
          <w:szCs w:val="18"/>
        </w:rPr>
        <w:t>dn</w:t>
      </w:r>
      <w:proofErr w:type="spellEnd"/>
      <w:r w:rsidRPr="00C72BCB">
        <w:rPr>
          <w:rFonts w:ascii="Verdana" w:hAnsi="Verdana"/>
          <w:sz w:val="18"/>
          <w:szCs w:val="18"/>
        </w:rPr>
        <w:t xml:space="preserve"> 300 – </w:t>
      </w:r>
      <w:proofErr w:type="spellStart"/>
      <w:r w:rsidRPr="00C72BCB">
        <w:rPr>
          <w:rFonts w:ascii="Verdana" w:hAnsi="Verdana"/>
          <w:sz w:val="18"/>
          <w:szCs w:val="18"/>
        </w:rPr>
        <w:t>mb</w:t>
      </w:r>
      <w:proofErr w:type="spellEnd"/>
      <w:r w:rsidRPr="00C72BCB">
        <w:rPr>
          <w:rFonts w:ascii="Verdana" w:hAnsi="Verdana"/>
          <w:sz w:val="18"/>
          <w:szCs w:val="18"/>
        </w:rPr>
        <w:t xml:space="preserve"> 49</w:t>
      </w:r>
    </w:p>
    <w:p w:rsidR="00C72BCB" w:rsidRPr="00C72BCB" w:rsidRDefault="00C72BCB" w:rsidP="00C72BCB">
      <w:pPr>
        <w:pStyle w:val="Akapitzlist"/>
        <w:spacing w:line="276" w:lineRule="auto"/>
        <w:ind w:left="1068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- rura PE </w:t>
      </w:r>
      <w:proofErr w:type="spellStart"/>
      <w:r w:rsidRPr="00C72BCB">
        <w:rPr>
          <w:rFonts w:ascii="Verdana" w:hAnsi="Verdana"/>
          <w:sz w:val="18"/>
          <w:szCs w:val="18"/>
        </w:rPr>
        <w:t>dn</w:t>
      </w:r>
      <w:proofErr w:type="spellEnd"/>
      <w:r w:rsidRPr="00C72BCB">
        <w:rPr>
          <w:rFonts w:ascii="Verdana" w:hAnsi="Verdana"/>
          <w:sz w:val="18"/>
          <w:szCs w:val="18"/>
        </w:rPr>
        <w:t xml:space="preserve"> 160x6,2 mm – </w:t>
      </w:r>
      <w:proofErr w:type="spellStart"/>
      <w:r w:rsidRPr="00C72BCB">
        <w:rPr>
          <w:rFonts w:ascii="Verdana" w:hAnsi="Verdana"/>
          <w:sz w:val="18"/>
          <w:szCs w:val="18"/>
        </w:rPr>
        <w:t>mb</w:t>
      </w:r>
      <w:proofErr w:type="spellEnd"/>
      <w:r w:rsidRPr="00C72BCB">
        <w:rPr>
          <w:rFonts w:ascii="Verdana" w:hAnsi="Verdana"/>
          <w:sz w:val="18"/>
          <w:szCs w:val="18"/>
        </w:rPr>
        <w:t xml:space="preserve"> 18</w:t>
      </w:r>
    </w:p>
    <w:p w:rsidR="00C72BCB" w:rsidRPr="00C72BCB" w:rsidRDefault="00C72BCB" w:rsidP="00C72BCB">
      <w:pPr>
        <w:pStyle w:val="Akapitzlist"/>
        <w:spacing w:line="276" w:lineRule="auto"/>
        <w:ind w:left="1068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- rura PE </w:t>
      </w:r>
      <w:proofErr w:type="spellStart"/>
      <w:r w:rsidRPr="00C72BCB">
        <w:rPr>
          <w:rFonts w:ascii="Verdana" w:hAnsi="Verdana"/>
          <w:sz w:val="18"/>
          <w:szCs w:val="18"/>
        </w:rPr>
        <w:t>dn</w:t>
      </w:r>
      <w:proofErr w:type="spellEnd"/>
      <w:r w:rsidRPr="00C72BCB">
        <w:rPr>
          <w:rFonts w:ascii="Verdana" w:hAnsi="Verdana"/>
          <w:sz w:val="18"/>
          <w:szCs w:val="18"/>
        </w:rPr>
        <w:t xml:space="preserve"> 125x4,8 mm – </w:t>
      </w:r>
      <w:proofErr w:type="spellStart"/>
      <w:r w:rsidRPr="00C72BCB">
        <w:rPr>
          <w:rFonts w:ascii="Verdana" w:hAnsi="Verdana"/>
          <w:sz w:val="18"/>
          <w:szCs w:val="18"/>
        </w:rPr>
        <w:t>mb</w:t>
      </w:r>
      <w:proofErr w:type="spellEnd"/>
      <w:r w:rsidRPr="00C72BCB">
        <w:rPr>
          <w:rFonts w:ascii="Verdana" w:hAnsi="Verdana"/>
          <w:sz w:val="18"/>
          <w:szCs w:val="18"/>
        </w:rPr>
        <w:t xml:space="preserve"> 77</w:t>
      </w:r>
    </w:p>
    <w:p w:rsidR="00C72BCB" w:rsidRPr="00C72BCB" w:rsidRDefault="00C72BCB" w:rsidP="00C72BCB">
      <w:pPr>
        <w:pStyle w:val="Akapitzlist"/>
        <w:spacing w:line="276" w:lineRule="auto"/>
        <w:ind w:left="1068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- rura PE </w:t>
      </w:r>
      <w:proofErr w:type="spellStart"/>
      <w:r w:rsidRPr="00C72BCB">
        <w:rPr>
          <w:rFonts w:ascii="Verdana" w:hAnsi="Verdana"/>
          <w:sz w:val="18"/>
          <w:szCs w:val="18"/>
        </w:rPr>
        <w:t>dn</w:t>
      </w:r>
      <w:proofErr w:type="spellEnd"/>
      <w:r w:rsidRPr="00C72BCB">
        <w:rPr>
          <w:rFonts w:ascii="Verdana" w:hAnsi="Verdana"/>
          <w:sz w:val="18"/>
          <w:szCs w:val="18"/>
        </w:rPr>
        <w:t xml:space="preserve"> 110x4,2 mm – </w:t>
      </w:r>
      <w:proofErr w:type="spellStart"/>
      <w:r w:rsidRPr="00C72BCB">
        <w:rPr>
          <w:rFonts w:ascii="Verdana" w:hAnsi="Verdana"/>
          <w:sz w:val="18"/>
          <w:szCs w:val="18"/>
        </w:rPr>
        <w:t>mb</w:t>
      </w:r>
      <w:proofErr w:type="spellEnd"/>
      <w:r w:rsidRPr="00C72BCB">
        <w:rPr>
          <w:rFonts w:ascii="Verdana" w:hAnsi="Verdana"/>
          <w:sz w:val="18"/>
          <w:szCs w:val="18"/>
        </w:rPr>
        <w:t xml:space="preserve"> 121</w:t>
      </w:r>
    </w:p>
    <w:p w:rsidR="00C72BCB" w:rsidRPr="00C72BCB" w:rsidRDefault="00C72BCB" w:rsidP="00C72BCB">
      <w:pPr>
        <w:pStyle w:val="Akapitzlist"/>
        <w:spacing w:line="276" w:lineRule="auto"/>
        <w:ind w:left="1068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- rura PE </w:t>
      </w:r>
      <w:proofErr w:type="spellStart"/>
      <w:r w:rsidRPr="00C72BCB">
        <w:rPr>
          <w:rFonts w:ascii="Verdana" w:hAnsi="Verdana"/>
          <w:sz w:val="18"/>
          <w:szCs w:val="18"/>
        </w:rPr>
        <w:t>dn</w:t>
      </w:r>
      <w:proofErr w:type="spellEnd"/>
      <w:r w:rsidRPr="00C72BCB">
        <w:rPr>
          <w:rFonts w:ascii="Verdana" w:hAnsi="Verdana"/>
          <w:sz w:val="18"/>
          <w:szCs w:val="18"/>
        </w:rPr>
        <w:t xml:space="preserve"> 90x3,5 mm – </w:t>
      </w:r>
      <w:proofErr w:type="spellStart"/>
      <w:r w:rsidRPr="00C72BCB">
        <w:rPr>
          <w:rFonts w:ascii="Verdana" w:hAnsi="Verdana"/>
          <w:sz w:val="18"/>
          <w:szCs w:val="18"/>
        </w:rPr>
        <w:t>mb</w:t>
      </w:r>
      <w:proofErr w:type="spellEnd"/>
      <w:r w:rsidRPr="00C72BCB">
        <w:rPr>
          <w:rFonts w:ascii="Verdana" w:hAnsi="Verdana"/>
          <w:sz w:val="18"/>
          <w:szCs w:val="18"/>
        </w:rPr>
        <w:t xml:space="preserve"> 56</w:t>
      </w:r>
    </w:p>
    <w:p w:rsidR="00C72BCB" w:rsidRPr="00C72BCB" w:rsidRDefault="00C72BCB" w:rsidP="00C72BCB">
      <w:pPr>
        <w:pStyle w:val="Akapitzlist"/>
        <w:spacing w:line="276" w:lineRule="auto"/>
        <w:ind w:left="1068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- rura PE </w:t>
      </w:r>
      <w:proofErr w:type="spellStart"/>
      <w:r w:rsidRPr="00C72BCB">
        <w:rPr>
          <w:rFonts w:ascii="Verdana" w:hAnsi="Verdana"/>
          <w:sz w:val="18"/>
          <w:szCs w:val="18"/>
        </w:rPr>
        <w:t>dn</w:t>
      </w:r>
      <w:proofErr w:type="spellEnd"/>
      <w:r w:rsidRPr="00C72BCB">
        <w:rPr>
          <w:rFonts w:ascii="Verdana" w:hAnsi="Verdana"/>
          <w:sz w:val="18"/>
          <w:szCs w:val="18"/>
        </w:rPr>
        <w:t xml:space="preserve"> 75x3,0 mm – </w:t>
      </w:r>
      <w:proofErr w:type="spellStart"/>
      <w:r w:rsidRPr="00C72BCB">
        <w:rPr>
          <w:rFonts w:ascii="Verdana" w:hAnsi="Verdana"/>
          <w:sz w:val="18"/>
          <w:szCs w:val="18"/>
        </w:rPr>
        <w:t>mb</w:t>
      </w:r>
      <w:proofErr w:type="spellEnd"/>
      <w:r w:rsidRPr="00C72BCB">
        <w:rPr>
          <w:rFonts w:ascii="Verdana" w:hAnsi="Verdana"/>
          <w:sz w:val="18"/>
          <w:szCs w:val="18"/>
        </w:rPr>
        <w:t xml:space="preserve"> 43</w:t>
      </w:r>
    </w:p>
    <w:p w:rsidR="00C72BCB" w:rsidRPr="00C72BCB" w:rsidRDefault="00C72BCB" w:rsidP="00C72BCB">
      <w:pPr>
        <w:pStyle w:val="Akapitzlist"/>
        <w:spacing w:line="276" w:lineRule="auto"/>
        <w:ind w:left="1068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- rura PE </w:t>
      </w:r>
      <w:proofErr w:type="spellStart"/>
      <w:r w:rsidRPr="00C72BCB">
        <w:rPr>
          <w:rFonts w:ascii="Verdana" w:hAnsi="Verdana"/>
          <w:sz w:val="18"/>
          <w:szCs w:val="18"/>
        </w:rPr>
        <w:t>dn</w:t>
      </w:r>
      <w:proofErr w:type="spellEnd"/>
      <w:r w:rsidRPr="00C72BCB">
        <w:rPr>
          <w:rFonts w:ascii="Verdana" w:hAnsi="Verdana"/>
          <w:sz w:val="18"/>
          <w:szCs w:val="18"/>
        </w:rPr>
        <w:t xml:space="preserve"> 63x3,0 mm – </w:t>
      </w:r>
      <w:proofErr w:type="spellStart"/>
      <w:r w:rsidRPr="00C72BCB">
        <w:rPr>
          <w:rFonts w:ascii="Verdana" w:hAnsi="Verdana"/>
          <w:sz w:val="18"/>
          <w:szCs w:val="18"/>
        </w:rPr>
        <w:t>mb</w:t>
      </w:r>
      <w:proofErr w:type="spellEnd"/>
      <w:r w:rsidRPr="00C72BCB">
        <w:rPr>
          <w:rFonts w:ascii="Verdana" w:hAnsi="Verdana"/>
          <w:sz w:val="18"/>
          <w:szCs w:val="18"/>
        </w:rPr>
        <w:t xml:space="preserve"> 7,5</w:t>
      </w:r>
    </w:p>
    <w:p w:rsidR="00C72BCB" w:rsidRPr="00C72BCB" w:rsidRDefault="00C72BCB" w:rsidP="00C72BCB">
      <w:pPr>
        <w:pStyle w:val="Akapitzlist"/>
        <w:spacing w:line="276" w:lineRule="auto"/>
        <w:ind w:left="1068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- rura PE </w:t>
      </w:r>
      <w:proofErr w:type="spellStart"/>
      <w:r w:rsidRPr="00C72BCB">
        <w:rPr>
          <w:rFonts w:ascii="Verdana" w:hAnsi="Verdana"/>
          <w:sz w:val="18"/>
          <w:szCs w:val="18"/>
        </w:rPr>
        <w:t>dn</w:t>
      </w:r>
      <w:proofErr w:type="spellEnd"/>
      <w:r w:rsidRPr="00C72BCB">
        <w:rPr>
          <w:rFonts w:ascii="Verdana" w:hAnsi="Verdana"/>
          <w:sz w:val="18"/>
          <w:szCs w:val="18"/>
        </w:rPr>
        <w:t xml:space="preserve"> 56x3,0 mm – </w:t>
      </w:r>
      <w:proofErr w:type="spellStart"/>
      <w:r w:rsidRPr="00C72BCB">
        <w:rPr>
          <w:rFonts w:ascii="Verdana" w:hAnsi="Verdana"/>
          <w:sz w:val="18"/>
          <w:szCs w:val="18"/>
        </w:rPr>
        <w:t>mb</w:t>
      </w:r>
      <w:proofErr w:type="spellEnd"/>
      <w:r w:rsidRPr="00C72BCB">
        <w:rPr>
          <w:rFonts w:ascii="Verdana" w:hAnsi="Verdana"/>
          <w:sz w:val="18"/>
          <w:szCs w:val="18"/>
        </w:rPr>
        <w:t xml:space="preserve"> 7,5</w:t>
      </w:r>
    </w:p>
    <w:p w:rsidR="00C72BCB" w:rsidRPr="00C72BCB" w:rsidRDefault="00C72BCB" w:rsidP="00C72BCB">
      <w:pPr>
        <w:pStyle w:val="Akapitzlist"/>
        <w:spacing w:line="276" w:lineRule="auto"/>
        <w:ind w:left="1068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- rura PE </w:t>
      </w:r>
      <w:proofErr w:type="spellStart"/>
      <w:r w:rsidRPr="00C72BCB">
        <w:rPr>
          <w:rFonts w:ascii="Verdana" w:hAnsi="Verdana"/>
          <w:sz w:val="18"/>
          <w:szCs w:val="18"/>
        </w:rPr>
        <w:t>dn</w:t>
      </w:r>
      <w:proofErr w:type="spellEnd"/>
      <w:r w:rsidRPr="00C72BCB">
        <w:rPr>
          <w:rFonts w:ascii="Verdana" w:hAnsi="Verdana"/>
          <w:sz w:val="18"/>
          <w:szCs w:val="18"/>
        </w:rPr>
        <w:t xml:space="preserve"> 50x3,0 mm – </w:t>
      </w:r>
      <w:proofErr w:type="spellStart"/>
      <w:r w:rsidRPr="00C72BCB">
        <w:rPr>
          <w:rFonts w:ascii="Verdana" w:hAnsi="Verdana"/>
          <w:sz w:val="18"/>
          <w:szCs w:val="18"/>
        </w:rPr>
        <w:t>mb</w:t>
      </w:r>
      <w:proofErr w:type="spellEnd"/>
      <w:r w:rsidRPr="00C72BCB">
        <w:rPr>
          <w:rFonts w:ascii="Verdana" w:hAnsi="Verdana"/>
          <w:sz w:val="18"/>
          <w:szCs w:val="18"/>
        </w:rPr>
        <w:t xml:space="preserve"> 8,3</w:t>
      </w:r>
    </w:p>
    <w:p w:rsidR="00C72BCB" w:rsidRPr="00C72BCB" w:rsidRDefault="00C72BCB" w:rsidP="00C72BCB">
      <w:pPr>
        <w:pStyle w:val="Akapitzlist"/>
        <w:spacing w:line="276" w:lineRule="auto"/>
        <w:ind w:left="1068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Prosimy o informację, w której pozycji należy uwzględnić brakujące elementy oraz o doprecyzowanie materiału z którego powinny zostać wykonane?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Instalacje kanalizacji deszczowej wykonać zgodnie z projektem.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ind w:left="1068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lastRenderedPageBreak/>
        <w:t>INSTALACJE ELEKTRYCZNE</w:t>
      </w:r>
    </w:p>
    <w:p w:rsidR="00C72BCB" w:rsidRPr="00C72BCB" w:rsidRDefault="00C72BCB" w:rsidP="00C72BCB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Prosimy o informację w jaki sposób mają być montowane oprawy nad boiskami oraz w jaki sposób mają być rozprowadzane przewody zasilające do tych opraw (rurkami, korytkami)?  Czy korytka, rurki oprawy lub jakikolwiek inny osprzęt elektryczny i niskoprądowy montowany nad boiskami ma być w jakimś określonym kolorze (jeśli tak to w jakim)?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 xml:space="preserve">Odp.: Oprawy mają być zlicowane z sufitami podwieszanymi, kable doprowadzające maja być prowadzone w przestrzeni między sufitem podwieszanym a blachą trapezową stropodachu (są niewidoczne). Mają być prowadzone w rurkach. 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Na załączonych planach instalacji elektrycznej (rysunek E-5.5) brak rozróżnienia pomiędzy drutem odgromowym 8mm a drutem odgromowym 8mm w rurce PCV (100kVA) pod ociepleniem dachu. Prosimy o wskazanie który drut </w:t>
      </w:r>
      <w:proofErr w:type="spellStart"/>
      <w:r w:rsidRPr="00C72BCB">
        <w:rPr>
          <w:rFonts w:ascii="Verdana" w:hAnsi="Verdana"/>
          <w:sz w:val="18"/>
          <w:szCs w:val="18"/>
        </w:rPr>
        <w:t>FeZn</w:t>
      </w:r>
      <w:proofErr w:type="spellEnd"/>
      <w:r w:rsidRPr="00C72BCB">
        <w:rPr>
          <w:rFonts w:ascii="Verdana" w:hAnsi="Verdana"/>
          <w:sz w:val="18"/>
          <w:szCs w:val="18"/>
        </w:rPr>
        <w:t xml:space="preserve"> fi 8 m być układany na uchwytach, a który w rurce pod ocieleniem dachu.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Pod ociepleniem, w rurkach osłonowych prowadzone są druty na dachach zielonych: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- na dachu poz. +19,19 (w osiach H-K/3-13)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- na tarasie użytkowym (w osiach 1-4/A-I)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Na rysunku ACS-4 (dotyczącym szlabanów – instalacja teletechniczna) – wrysowano „terminal kasowy”. Prosimy o potwierdzenie iż terminal nie jest w zakresie dostawy/wyceny.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</w:t>
      </w:r>
      <w:r w:rsidRPr="00C72BCB">
        <w:rPr>
          <w:rFonts w:ascii="Verdana" w:hAnsi="Verdana"/>
          <w:b/>
          <w:bCs/>
          <w:sz w:val="18"/>
          <w:szCs w:val="18"/>
        </w:rPr>
        <w:t xml:space="preserve"> Terminal kasowy nie jest w zakresie oferty – nie należy go wyceniać.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Na rysunku ACS-4 (dotyczącym szlabanów – instalacja teletechniczna) – wrysowano „stację roboczą”. Prosimy o potwierdzenie iż w/w stacja robocza nie jest w zakresie dostawy/wyceny.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 xml:space="preserve">Odp.: </w:t>
      </w:r>
      <w:r w:rsidRPr="00C72BCB">
        <w:rPr>
          <w:rFonts w:ascii="Verdana" w:hAnsi="Verdana"/>
          <w:b/>
          <w:bCs/>
          <w:sz w:val="18"/>
          <w:szCs w:val="18"/>
        </w:rPr>
        <w:t>Stacja robocza nie jest w zakresie oferty – nie należy jej wyceniać.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Zgodnie z projektem rozdzielni „ROZ” (rysunek E-8.24 w projekcie instalacji elektrycznych wewnętrznych) zaprojektowano trzy obwody oświetlenia zewnętrznego (dwa obwody „oświetlenie wysokie” i jeden obwód „oświetlenie niskie”). Zgodnie z rysunkiem E-09 (z projektu instalacji elektrycznej zewnętrznej) zaprojektowano dwa obwody. Prosimy o wyjaśnienie rozbieżności.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Obwód „oświetlenie niskie” dotyczy iluminacji elewacji.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Projektem Elektrycznych Sieci zewnętrznych (rysunek E-06) oraz zgodnie z przedmiarem (pozycja 1527 d.4.2) oświetlenie zewnętrzne należy wykonać kablem YKXS 5x6mm2. Zgodnie z projektem instalacji elektrycznej – Schemat Rozdzielni ROZ (rysunek E-8.24) oświetlenie </w:t>
      </w:r>
      <w:r w:rsidRPr="00C72BCB">
        <w:rPr>
          <w:rFonts w:ascii="Verdana" w:hAnsi="Verdana"/>
          <w:sz w:val="18"/>
          <w:szCs w:val="18"/>
        </w:rPr>
        <w:lastRenderedPageBreak/>
        <w:t>zewnętrzne należy wykonać przewodem N2XH 5x6mm2 (dwa obwody) oraz przewodem N2XH 3x1,5mm2 (jeden obwód). Prosimy o  wyjaśnienie rozbieżności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Należy wykonać (wycenić) zgodnie z proj. elektrycznych sieci zewnętrznych - YKXS 5x6mm2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Prosimy o potwierdzenie iż wraz z Rozdzielnią Oświetlenia Parteru „TO2” (rysunek E-8.2) należy dostarczyć i zamontować panel sterowania oświetleniem PSO (montaż w portierni). Prosimy o dodanie pozycji dotyczącej tablicy PSO w przedmiarze instalacji elektrycznej.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Należy dostarczyć i zamontować panel sterowania oświetleniem PSO zgodnie z projektem.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W przedmiarze instalacji niskoprądowych w dziale dotyczącym „Oddymiania klatek schodowych” brak pozycji dotyczącej „Szafy sterującej wentylacja i oddymianiem garażu” (rysunek ODDM-3) – prosimy o uzupełnienie.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color w:val="000000"/>
          <w:sz w:val="18"/>
          <w:szCs w:val="18"/>
        </w:rPr>
      </w:pPr>
      <w:r w:rsidRPr="00C72BCB">
        <w:rPr>
          <w:rFonts w:ascii="Verdana" w:hAnsi="Verdana"/>
          <w:color w:val="000000"/>
          <w:sz w:val="18"/>
          <w:szCs w:val="18"/>
        </w:rPr>
        <w:t>Zgodnie z rysunkiem ODDM-2 załączonym do Projektu Wykonawczego instalacji niskoprądowej (oraz zgodnie z zestawieniem materiału w opisie technicznym punkt 16.5 strona 101) w ramach instalacji sterowania oddymianiem i wentylacja bytową w garażu należy dostarczyć i zamontować szafę CSUP-G1. Brak takiej szafy w przedmiarze – prosimy o uzupełnienie przedmiaru. Prosimy tez o wyjaśnienie czy „Szafa sterująca wentylacja i oddymianiem garażu” pokazana na rysunku ODDM-3 to ta sama szafa co CSUP-2 pokazana na rysunku ODDM-2 czy są to dwie niezależne oddzielne szafy które należy wycenić i dostarczyć?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D</w:t>
      </w:r>
      <w:r w:rsidRPr="00C72BCB">
        <w:rPr>
          <w:rFonts w:ascii="Verdana" w:hAnsi="Verdana"/>
          <w:b/>
          <w:bCs/>
          <w:color w:val="000000"/>
          <w:sz w:val="18"/>
          <w:szCs w:val="18"/>
        </w:rPr>
        <w:t xml:space="preserve">ostawa i montaż szafy CSUP-G1 jest w zakresie </w:t>
      </w:r>
      <w:r w:rsidR="0082031B">
        <w:rPr>
          <w:rFonts w:ascii="Verdana" w:hAnsi="Verdana"/>
          <w:b/>
          <w:bCs/>
          <w:color w:val="000000"/>
          <w:sz w:val="18"/>
          <w:szCs w:val="18"/>
        </w:rPr>
        <w:t>przedmiotu zamówienia</w:t>
      </w:r>
      <w:r w:rsidRPr="00C72BCB">
        <w:rPr>
          <w:rFonts w:ascii="Verdana" w:hAnsi="Verdana"/>
          <w:b/>
          <w:bCs/>
          <w:color w:val="000000"/>
          <w:sz w:val="18"/>
          <w:szCs w:val="18"/>
        </w:rPr>
        <w:t xml:space="preserve"> – należy ją wycenić. </w:t>
      </w:r>
      <w:r w:rsidRPr="00C72BCB">
        <w:rPr>
          <w:rFonts w:ascii="Verdana" w:hAnsi="Verdana"/>
          <w:b/>
          <w:sz w:val="18"/>
          <w:szCs w:val="18"/>
        </w:rPr>
        <w:t xml:space="preserve">Przedmiar jest wyłącznie materiałem pomocniczym. </w:t>
      </w:r>
      <w:r w:rsidRPr="00C72BCB">
        <w:rPr>
          <w:rFonts w:ascii="Verdana" w:hAnsi="Verdana"/>
          <w:b/>
          <w:color w:val="000000"/>
          <w:sz w:val="18"/>
          <w:szCs w:val="18"/>
        </w:rPr>
        <w:t xml:space="preserve">Szafa sterująca wentylacja i oddymianiem garażu pokazana na rysunku ODDM-3 to ta sama szafa co CSUP-2 pokazana na rysunku ODDM-2 </w:t>
      </w:r>
      <w:r w:rsidRPr="00C72BCB">
        <w:rPr>
          <w:rFonts w:ascii="Verdana" w:hAnsi="Verdana"/>
          <w:b/>
          <w:bCs/>
          <w:color w:val="000000"/>
          <w:sz w:val="18"/>
          <w:szCs w:val="18"/>
        </w:rPr>
        <w:t xml:space="preserve">- montowana w </w:t>
      </w:r>
      <w:proofErr w:type="spellStart"/>
      <w:r w:rsidRPr="00C72BCB">
        <w:rPr>
          <w:rFonts w:ascii="Verdana" w:hAnsi="Verdana"/>
          <w:b/>
          <w:bCs/>
          <w:color w:val="000000"/>
          <w:sz w:val="18"/>
          <w:szCs w:val="18"/>
        </w:rPr>
        <w:t>wentylatorni</w:t>
      </w:r>
      <w:proofErr w:type="spellEnd"/>
      <w:r w:rsidRPr="00C72BCB">
        <w:rPr>
          <w:rFonts w:ascii="Verdana" w:hAnsi="Verdana"/>
          <w:b/>
          <w:bCs/>
          <w:color w:val="000000"/>
          <w:sz w:val="18"/>
          <w:szCs w:val="18"/>
        </w:rPr>
        <w:t xml:space="preserve"> -1.11. 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color w:val="000000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zapisem zawartym w opisie technicznym projektu przebudowy sieci energetycznych zewnętrznych (strona 5 punk 8) - należy  „… na czas przepięcia poszczególne odbiory należy zasilić z przewoźnego agregatu prądotwórczego”. Zgodnie z zapisami SIWZ strona 14 „zabezpieczyć ciągłość zasilania w energię elektryczną budynki Uczelni: przychodnia zdrowia SCANMED U-10; Basen AGH U-11; Domy Studenckie: DS-3, DS-15, DS-16, DS-17, DS-18 i DS-19. Nie dotyczy to przerw wynikających z niezbędnych prac.” W przedmiarze brak kosztów najmu, podłączenia, eksploatacji, paliwa, obsługi dotyczącego tymczasowego agregatu prądotwórczego. Zgodnie z zapisem na stronie 8 SIWZ: „Na czas przebudowy kabli SN zasilających stację </w:t>
      </w:r>
      <w:r w:rsidRPr="00C72BCB">
        <w:rPr>
          <w:rFonts w:ascii="Verdana" w:hAnsi="Verdana"/>
          <w:sz w:val="18"/>
          <w:szCs w:val="18"/>
        </w:rPr>
        <w:lastRenderedPageBreak/>
        <w:t>transformatorową 44721 Basen należy przedstawić harmonogram prac oraz zapewnić ciągłość zasilania całego obiektu na czas przebudowy ww. kabli. Należy przewidzieć agregat prądotwórczy o mocy nie mniejszej niż 300kW i podpiąć w celu utrzymania ciągłość zasilania w tym obiekcie.”. Prosimy o potwierdzeni czy zasilanie tymczasowe ma dotyczyć tylko Budynku Basenu czy wszystkich budynków których dotyczy przebudowa kabli energetycznych?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Wykonanie zasilania tymczasowego agregatem prądotwórczym dotyczy tylko Basenu AGH. W ofercie należy wycenić koszt</w:t>
      </w:r>
      <w:r w:rsidR="0082031B">
        <w:rPr>
          <w:rFonts w:ascii="Verdana" w:hAnsi="Verdana"/>
          <w:b/>
          <w:sz w:val="18"/>
          <w:szCs w:val="18"/>
        </w:rPr>
        <w:t>y</w:t>
      </w:r>
      <w:bookmarkStart w:id="1" w:name="_GoBack"/>
      <w:bookmarkEnd w:id="1"/>
      <w:r w:rsidRPr="00C72BCB">
        <w:rPr>
          <w:rFonts w:ascii="Verdana" w:hAnsi="Verdana"/>
          <w:b/>
          <w:sz w:val="18"/>
          <w:szCs w:val="18"/>
        </w:rPr>
        <w:t xml:space="preserve"> najmu, podłączenia, eksploatacji, paliwa, obsługi dotyczącego tymczasowego agregatu prądotwórczego.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Instalacji DSO (pozycja 1171 d.3.8.2) należy ułożyć 120m przewodu HDGS 2x1,5mm2. Zgodnie z zestawieniem materiału załączonym do Projektu Wykonawczego (opis techniczny instalacji niskoprądowych strona 100 punkt 16.2.1) należy ułożyć 5600m przewodu </w:t>
      </w:r>
      <w:proofErr w:type="spellStart"/>
      <w:r w:rsidRPr="00C72BCB">
        <w:rPr>
          <w:rFonts w:ascii="Verdana" w:hAnsi="Verdana"/>
          <w:sz w:val="18"/>
          <w:szCs w:val="18"/>
        </w:rPr>
        <w:t>HDGs</w:t>
      </w:r>
      <w:proofErr w:type="spellEnd"/>
      <w:r w:rsidRPr="00C72BCB">
        <w:rPr>
          <w:rFonts w:ascii="Verdana" w:hAnsi="Verdana"/>
          <w:sz w:val="18"/>
          <w:szCs w:val="18"/>
        </w:rPr>
        <w:t xml:space="preserve"> PH90 2x1,5mm2. Prosimy o poprawienie ilości w przedmiarze.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N</w:t>
      </w:r>
      <w:r w:rsidRPr="00C72BCB">
        <w:rPr>
          <w:rFonts w:ascii="Verdana" w:hAnsi="Verdana"/>
          <w:b/>
          <w:bCs/>
          <w:sz w:val="18"/>
          <w:szCs w:val="18"/>
        </w:rPr>
        <w:t xml:space="preserve">ależy wykonać (wycenić) zgodnie z projektem. </w:t>
      </w:r>
      <w:r w:rsidRPr="00C72BCB">
        <w:rPr>
          <w:rFonts w:ascii="Verdana" w:hAnsi="Verdana"/>
          <w:b/>
          <w:sz w:val="18"/>
          <w:szCs w:val="18"/>
        </w:rPr>
        <w:t>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Systemu Sygnalizacji Pożaru SSP (pozycja 1137 d.3.8.1) należy ułożyć 9000m przewodu </w:t>
      </w:r>
      <w:proofErr w:type="spellStart"/>
      <w:r w:rsidRPr="00C72BCB">
        <w:rPr>
          <w:rFonts w:ascii="Verdana" w:hAnsi="Verdana"/>
          <w:sz w:val="18"/>
          <w:szCs w:val="18"/>
        </w:rPr>
        <w:t>HTKSHekw</w:t>
      </w:r>
      <w:proofErr w:type="spellEnd"/>
      <w:r w:rsidRPr="00C72BCB">
        <w:rPr>
          <w:rFonts w:ascii="Verdana" w:hAnsi="Verdana"/>
          <w:sz w:val="18"/>
          <w:szCs w:val="18"/>
        </w:rPr>
        <w:t xml:space="preserve"> 1x2x0,8mm2. Zgodnie z Projektem Wykonawczym (zestawienie materiału w punkcie 16.1.2 na stronie 99 opisu technicznego instalacji niskoprądowej) należy ułożyć 10000m przewodu HTKSH 1x2x0,8mm2. Prosimy o podanie poprawnej ilości przewodu wraz z określeniem czy należy zastosować przewód HTKSH czy </w:t>
      </w:r>
      <w:proofErr w:type="spellStart"/>
      <w:r w:rsidRPr="00C72BCB">
        <w:rPr>
          <w:rFonts w:ascii="Verdana" w:hAnsi="Verdana"/>
          <w:sz w:val="18"/>
          <w:szCs w:val="18"/>
        </w:rPr>
        <w:t>HTKSHekw</w:t>
      </w:r>
      <w:proofErr w:type="spellEnd"/>
      <w:r w:rsidRPr="00C72BCB">
        <w:rPr>
          <w:rFonts w:ascii="Verdana" w:hAnsi="Verdana"/>
          <w:sz w:val="18"/>
          <w:szCs w:val="18"/>
        </w:rPr>
        <w:t>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N</w:t>
      </w:r>
      <w:r w:rsidRPr="00C72BCB">
        <w:rPr>
          <w:rFonts w:ascii="Verdana" w:hAnsi="Verdana"/>
          <w:b/>
          <w:bCs/>
          <w:sz w:val="18"/>
          <w:szCs w:val="18"/>
        </w:rPr>
        <w:t xml:space="preserve">ależy wykonać (wycenić) zgodnie z projektem - HTKSH 1x2x0,8mm2 - 10000m. 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>Zgodnie z pozycją przedmiaru nr 1176 d.3.8.3 w ramach wykonywania „Instalacji systemu sterowania oddymianiem klatek schodowych” należy zamontować tablicę TS-1. Ogólny opis w/w tablicy został zawarty w punkcie 7.2.2 opisu technicznego instalacji niskoprądowej (strona 63). Prosimy o dostarczenie schematu w/w tablicy i/lub elewacji i/lub szczegółowej specyfikacji tablicy TS-1 jaka ma zostać wykonana i dostarczona na obiekt.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 xml:space="preserve">Odp.: W linku poniżej schemat tablicy TS-1 na rysunku ODDM-7. </w:t>
      </w:r>
      <w:bookmarkStart w:id="2" w:name="__DdeLink__2421_522288276"/>
      <w:bookmarkEnd w:id="2"/>
      <w:r w:rsidRPr="00C72BCB">
        <w:rPr>
          <w:rFonts w:ascii="Verdana" w:hAnsi="Verdana"/>
          <w:b/>
          <w:sz w:val="18"/>
          <w:szCs w:val="18"/>
        </w:rPr>
        <w:t>Opis został zawarty w projekcie.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hyperlink r:id="rId13" w:history="1">
        <w:r w:rsidRPr="00C72BCB">
          <w:rPr>
            <w:rStyle w:val="Hipercze"/>
            <w:rFonts w:ascii="Verdana" w:hAnsi="Verdana"/>
            <w:b/>
            <w:sz w:val="18"/>
            <w:szCs w:val="18"/>
          </w:rPr>
          <w:t>http://di.adm.agh.edu.pl/public/mendyk/HS/ODDM-7.pdf</w:t>
        </w:r>
      </w:hyperlink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pozycją przedmiaru nr 1177 d.3.8.3 w ramach wykonywania „Instalacji systemu sterowania oddymianiem klatek schodowych” należy zamontować „Monitoring stanu pracy urządzeń MSPU-1”. Ogólny opis </w:t>
      </w:r>
      <w:r w:rsidRPr="00C72BCB">
        <w:rPr>
          <w:rFonts w:ascii="Verdana" w:hAnsi="Verdana"/>
          <w:sz w:val="18"/>
          <w:szCs w:val="18"/>
        </w:rPr>
        <w:lastRenderedPageBreak/>
        <w:t>MSPU został zawarty w punkcie 7.2.3 opisu technicznego instalacji niskoprądowej (strona 63). Prosimy o dostarczenie schematu w/w Monitoringu stanu pracy urządzeń i/lub elewacji i/lub szczegółowej specyfikacji MSPU-1 jaki ma zostać zamontowany w pomieszczeniu ochrony 0.03.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W linku poniżej elewacja MSPU na rysunku ODDM-8. Opis został zawarty w projekcie.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hyperlink r:id="rId14" w:history="1">
        <w:r w:rsidRPr="00C72BCB">
          <w:rPr>
            <w:rStyle w:val="Hipercze"/>
            <w:rFonts w:ascii="Verdana" w:hAnsi="Verdana"/>
            <w:b/>
            <w:sz w:val="18"/>
            <w:szCs w:val="18"/>
          </w:rPr>
          <w:t>http://di.adm.agh.edu.pl/public/mendyk/HS/ODDM-8.pdf</w:t>
        </w:r>
      </w:hyperlink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pkt 1400 jest 138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178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>. Prosimy o informację, w której pozycji należy uwzględnić brakujące elementy?</w:t>
      </w:r>
      <w:r w:rsidRPr="00C72BCB">
        <w:rPr>
          <w:rFonts w:ascii="Verdana" w:hAnsi="Verdana"/>
          <w:b/>
          <w:sz w:val="18"/>
          <w:szCs w:val="18"/>
        </w:rPr>
        <w:t xml:space="preserve"> 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pkt 1401 jest 66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89kpl.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pkt 1402 jest 160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189kpl. Prosimy o informację, w której pozycji należy uwzględnić brakujące elementy?</w:t>
      </w:r>
      <w:r w:rsidRPr="00C72BCB">
        <w:rPr>
          <w:rFonts w:ascii="Verdana" w:hAnsi="Verdana"/>
          <w:b/>
          <w:sz w:val="18"/>
          <w:szCs w:val="18"/>
        </w:rPr>
        <w:t xml:space="preserve"> 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Odp.: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pkt 1403 jest 89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121kpl.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bCs/>
          <w:color w:val="000000"/>
          <w:sz w:val="18"/>
          <w:szCs w:val="18"/>
          <w:lang w:eastAsia="en-US"/>
        </w:rPr>
      </w:pPr>
      <w:r w:rsidRPr="00C72BCB">
        <w:rPr>
          <w:rFonts w:ascii="Verdana" w:hAnsi="Verdana"/>
          <w:b/>
          <w:sz w:val="18"/>
          <w:szCs w:val="18"/>
        </w:rPr>
        <w:t>Odp.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pkt 1404 jest 17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32kpl. Prosimy o informację, w której pozycji należy uwzględnić brakujące elementy? 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bCs/>
          <w:color w:val="000000"/>
          <w:sz w:val="18"/>
          <w:szCs w:val="18"/>
          <w:lang w:eastAsia="en-US"/>
        </w:rPr>
      </w:pPr>
      <w:r w:rsidRPr="00C72BCB">
        <w:rPr>
          <w:rFonts w:ascii="Verdana" w:hAnsi="Verdana"/>
          <w:b/>
          <w:sz w:val="18"/>
          <w:szCs w:val="18"/>
        </w:rPr>
        <w:t>Odp.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pkt 1405 jest 24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29kpl.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bCs/>
          <w:color w:val="000000"/>
          <w:sz w:val="18"/>
          <w:szCs w:val="18"/>
          <w:lang w:eastAsia="en-US"/>
        </w:rPr>
      </w:pPr>
      <w:r w:rsidRPr="00C72BCB">
        <w:rPr>
          <w:rFonts w:ascii="Verdana" w:hAnsi="Verdana"/>
          <w:b/>
          <w:sz w:val="18"/>
          <w:szCs w:val="18"/>
        </w:rPr>
        <w:t>Odp.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pkt 1406 jest 133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172kpl.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lastRenderedPageBreak/>
        <w:t xml:space="preserve">Zgodnie z przedmiarem pkt 1407 jest 104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135kpl.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pkt 1408 jest 54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65kpl.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pkt 1410 jest 80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99kpl.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pkt 1411 jest 37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53kpl.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pkt 1412 jest 8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13kpl.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pkt 1413 jest 12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17kpl. Prosimy o informację, w której pozycji należy uwzględnić brakujące elementy?  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pkt 1414 jest 88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124kpl.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pkt 1415 jest 5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9kpl. Prosimy o informację, w której pozycji należy uwzględnić brakujące elementy?  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pkt 1416 jest 51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89kpl.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lastRenderedPageBreak/>
        <w:t xml:space="preserve">Zgodnie z przedmiarem pkt 1417 jest 42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59kpl.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pkt 1418 jest 71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89kpl. Prosimy o informację, w której pozycji należy uwzględnić brakujące elementy?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pkt 1419 jest 17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28kpl. Prosimy o informację, w której pozycji należy uwzględnić brakujące elementy?  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sz w:val="18"/>
          <w:szCs w:val="18"/>
        </w:rPr>
        <w:t xml:space="preserve">Zgodnie z przedmiarem pkt 1420 jest 36 </w:t>
      </w:r>
      <w:proofErr w:type="spellStart"/>
      <w:r w:rsidRPr="00C72BCB">
        <w:rPr>
          <w:rFonts w:ascii="Verdana" w:hAnsi="Verdana"/>
          <w:sz w:val="18"/>
          <w:szCs w:val="18"/>
        </w:rPr>
        <w:t>kpl</w:t>
      </w:r>
      <w:proofErr w:type="spellEnd"/>
      <w:r w:rsidRPr="00C72BCB">
        <w:rPr>
          <w:rFonts w:ascii="Verdana" w:hAnsi="Verdana"/>
          <w:sz w:val="18"/>
          <w:szCs w:val="18"/>
        </w:rPr>
        <w:t xml:space="preserve"> opraw na projekcie wykonawczym jest ich 49kpl. Prosimy o informację, w której pozycji należy uwzględnić brakujące elementy?  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C72BCB">
        <w:rPr>
          <w:rFonts w:ascii="Verdana" w:hAnsi="Verdana"/>
          <w:b/>
          <w:sz w:val="18"/>
          <w:szCs w:val="18"/>
        </w:rPr>
        <w:t>Odp. Przedmiar jest wyłącznie materiałem pomocniczym.</w:t>
      </w: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72BCB" w:rsidRPr="00C72BCB" w:rsidRDefault="00C72BCB" w:rsidP="00C72BCB">
      <w:pPr>
        <w:pStyle w:val="Akapitzlist"/>
        <w:spacing w:line="276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C72BCB" w:rsidRPr="00C72BCB" w:rsidRDefault="00C72BCB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  <w:u w:val="single"/>
        </w:rPr>
      </w:pPr>
    </w:p>
    <w:p w:rsidR="0021206B" w:rsidRPr="00C72BCB" w:rsidRDefault="0021206B">
      <w:pPr>
        <w:pStyle w:val="Tekstpodstawowywcity3"/>
        <w:spacing w:line="240" w:lineRule="auto"/>
        <w:ind w:firstLine="0"/>
        <w:rPr>
          <w:rFonts w:ascii="Verdana" w:hAnsi="Verdana"/>
          <w:sz w:val="18"/>
          <w:szCs w:val="18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6A92" w:rsidRDefault="00C16A92">
      <w:r>
        <w:separator/>
      </w:r>
    </w:p>
  </w:endnote>
  <w:endnote w:type="continuationSeparator" w:id="0">
    <w:p w:rsidR="00C16A92" w:rsidRDefault="00C16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6A92" w:rsidRDefault="00C16A92">
      <w:r>
        <w:separator/>
      </w:r>
    </w:p>
  </w:footnote>
  <w:footnote w:type="continuationSeparator" w:id="0">
    <w:p w:rsidR="00C16A92" w:rsidRDefault="00C16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1363B"/>
    <w:multiLevelType w:val="multilevel"/>
    <w:tmpl w:val="2794B40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B440D"/>
    <w:multiLevelType w:val="hybridMultilevel"/>
    <w:tmpl w:val="DA1E3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6A92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031B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16A92"/>
    <w:rsid w:val="00C529DB"/>
    <w:rsid w:val="00C72BC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64186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79B80D"/>
  <w15:chartTrackingRefBased/>
  <w15:docId w15:val="{DE9A47EA-1F8E-48FA-91B5-72560DF04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C72BCB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C72BCB"/>
    <w:pPr>
      <w:ind w:left="720"/>
      <w:contextualSpacing/>
    </w:pPr>
    <w:rPr>
      <w:sz w:val="24"/>
      <w:szCs w:val="24"/>
    </w:rPr>
  </w:style>
  <w:style w:type="paragraph" w:customStyle="1" w:styleId="paragraph">
    <w:name w:val="paragraph"/>
    <w:basedOn w:val="Normalny"/>
    <w:qFormat/>
    <w:rsid w:val="00C72BCB"/>
    <w:pPr>
      <w:spacing w:before="100" w:beforeAutospacing="1" w:after="100" w:afterAutospacing="1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9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di.adm.agh.edu.pl/public/mendyk/HS/ODDM-7.pdf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di.adm.agh.edu.pl/public/mendyk/HS/AW-35_korekta.pdf" TargetMode="External"/><Relationship Id="rId12" Type="http://schemas.openxmlformats.org/officeDocument/2006/relationships/hyperlink" Target="http://di.adm.agh.edu.pl/public/mendyk/HS/A-47w_korekta.pdf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i.adm.agh.edu.pl/public/mendyk/HS/A-46w_korekta.pdf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di.adm.agh.edu.pl/public/mendyk/HS/ODDM-8.pdf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16</Pages>
  <Words>4136</Words>
  <Characters>25996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30072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1601-01-01T00:00:00Z</cp:lastPrinted>
  <dcterms:created xsi:type="dcterms:W3CDTF">2020-08-19T09:27:00Z</dcterms:created>
  <dcterms:modified xsi:type="dcterms:W3CDTF">2020-08-19T09:27:00Z</dcterms:modified>
</cp:coreProperties>
</file>