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B3888" w:rsidRPr="003B3888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3B3888" w:rsidRPr="003B388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3B3888" w:rsidRPr="003B3888">
        <w:rPr>
          <w:rFonts w:ascii="Verdana" w:hAnsi="Verdana"/>
          <w:sz w:val="16"/>
          <w:szCs w:val="16"/>
        </w:rPr>
        <w:t>2020-08-04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BE0ECF">
        <w:rPr>
          <w:rFonts w:ascii="Verdana" w:hAnsi="Verdana"/>
          <w:sz w:val="20"/>
        </w:rPr>
        <w:t xml:space="preserve"> (32)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3B3888" w:rsidRPr="003B3888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BE359C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3B3888" w:rsidRPr="003B3888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BE359C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3500E3" w:rsidRDefault="003500E3" w:rsidP="003500E3">
      <w:pPr>
        <w:numPr>
          <w:ilvl w:val="0"/>
          <w:numId w:val="1"/>
        </w:numPr>
        <w:spacing w:line="252" w:lineRule="auto"/>
        <w:ind w:left="425"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 xml:space="preserve">Na wewnętrznych ścianach hal sportowych zaprojektowano tynki akustyczne. Pragniemy nadmienić, że tynki akustyczne są porowate i mają dużo mniejszą wytrzymałość niż standardowe tynki gipsowe przez co częściej ulegają zniekształceniom mechanicznym a na takim obiekcie jak Hala Sportowa będzie on często narażony na odkształcenia. Prosimy o potwierdzenie, że należy w ofercie ująć </w:t>
      </w:r>
      <w:r>
        <w:rPr>
          <w:rFonts w:ascii="Verdana" w:hAnsi="Verdana"/>
          <w:b/>
          <w:bCs/>
          <w:u w:val="single"/>
          <w:lang w:eastAsia="en-US"/>
        </w:rPr>
        <w:t>miękkie tynki akustyczne.</w:t>
      </w:r>
    </w:p>
    <w:p w:rsidR="003500E3" w:rsidRDefault="003500E3" w:rsidP="003500E3">
      <w:pPr>
        <w:spacing w:line="252" w:lineRule="auto"/>
        <w:ind w:left="425"/>
        <w:jc w:val="both"/>
        <w:rPr>
          <w:rStyle w:val="Mocnowyrniony"/>
          <w:color w:val="000000"/>
        </w:rPr>
      </w:pPr>
      <w:r>
        <w:rPr>
          <w:rFonts w:ascii="Verdana" w:hAnsi="Verdana"/>
          <w:b/>
          <w:bCs/>
          <w:lang w:eastAsia="en-US"/>
        </w:rPr>
        <w:t xml:space="preserve">Odp.: Tak w ofercie należy ująć tynki akustyczne. Tego typu tynki są stosowane na obiektach o analogicznej funkcji (np. </w:t>
      </w:r>
      <w:r>
        <w:rPr>
          <w:rStyle w:val="Mocnowyrniony"/>
          <w:rFonts w:ascii="Verdana" w:hAnsi="Verdana"/>
          <w:color w:val="000000"/>
          <w:lang w:eastAsia="en-US"/>
        </w:rPr>
        <w:t>KÄRCHER HALA CRACOVIA CENTRUM SPORTU NIEPEŁNOSPRAWNYCH w Krakowie)</w:t>
      </w:r>
    </w:p>
    <w:p w:rsidR="003500E3" w:rsidRDefault="003500E3" w:rsidP="003500E3">
      <w:pPr>
        <w:spacing w:line="252" w:lineRule="auto"/>
        <w:ind w:left="425"/>
        <w:jc w:val="both"/>
        <w:rPr>
          <w:color w:val="00000A"/>
          <w:sz w:val="24"/>
          <w:szCs w:val="24"/>
        </w:rPr>
      </w:pPr>
      <w:r>
        <w:rPr>
          <w:rFonts w:ascii="Verdana" w:hAnsi="Verdana"/>
          <w:b/>
          <w:bCs/>
          <w:color w:val="000000"/>
          <w:lang w:eastAsia="en-US"/>
        </w:rPr>
        <w:t xml:space="preserve"> </w:t>
      </w:r>
    </w:p>
    <w:p w:rsidR="003500E3" w:rsidRDefault="003500E3" w:rsidP="003500E3">
      <w:pPr>
        <w:numPr>
          <w:ilvl w:val="0"/>
          <w:numId w:val="1"/>
        </w:numPr>
        <w:spacing w:after="160" w:line="252" w:lineRule="auto"/>
        <w:ind w:left="426"/>
        <w:jc w:val="both"/>
        <w:rPr>
          <w:rFonts w:ascii="Verdana" w:hAnsi="Verdana"/>
          <w:lang w:eastAsia="en-US"/>
        </w:rPr>
      </w:pPr>
      <w:r>
        <w:rPr>
          <w:rFonts w:ascii="Verdana" w:hAnsi="Verdana" w:cs="Segoe UI"/>
          <w:lang w:eastAsia="en-US"/>
        </w:rPr>
        <w:t xml:space="preserve">Prosimy o udostępnienie plików OPS z głównej centrali telefonicznej AGH - Alcatel-Lucent </w:t>
      </w:r>
      <w:proofErr w:type="spellStart"/>
      <w:r>
        <w:rPr>
          <w:rFonts w:ascii="Verdana" w:hAnsi="Verdana" w:cs="Segoe UI"/>
          <w:lang w:eastAsia="en-US"/>
        </w:rPr>
        <w:t>OmniPCX</w:t>
      </w:r>
      <w:proofErr w:type="spellEnd"/>
      <w:r>
        <w:rPr>
          <w:rFonts w:ascii="Verdana" w:hAnsi="Verdana" w:cs="Segoe UI"/>
          <w:lang w:eastAsia="en-US"/>
        </w:rPr>
        <w:t xml:space="preserve"> Enterprise. Pliki te są niezbędne do prawidłowej wyceny modułu wyniesionej centrali telefonicznej, jak również do oszacowania osprzętu w jaki należy doposażyć jednostkę centralną, ilości licencji użytkowych i serwisów producenta.</w:t>
      </w:r>
    </w:p>
    <w:p w:rsidR="003500E3" w:rsidRDefault="003500E3" w:rsidP="003500E3">
      <w:pPr>
        <w:pStyle w:val="Akapitzlist"/>
        <w:spacing w:line="276" w:lineRule="auto"/>
        <w:ind w:left="42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W poniższym linku zamawiający zamieszcza Pliki OPS z centrali telefonicznej </w:t>
      </w:r>
    </w:p>
    <w:p w:rsidR="003500E3" w:rsidRDefault="003500E3" w:rsidP="003500E3">
      <w:pPr>
        <w:pStyle w:val="Akapitzlist"/>
        <w:spacing w:line="276" w:lineRule="auto"/>
        <w:ind w:left="426"/>
        <w:rPr>
          <w:rFonts w:ascii="Verdana" w:hAnsi="Verdana"/>
          <w:b/>
          <w:sz w:val="20"/>
          <w:szCs w:val="20"/>
        </w:rPr>
      </w:pPr>
      <w:hyperlink r:id="rId7" w:history="1">
        <w:r>
          <w:rPr>
            <w:rStyle w:val="Hipercze"/>
            <w:rFonts w:ascii="Verdana" w:hAnsi="Verdana"/>
            <w:b/>
            <w:sz w:val="20"/>
            <w:szCs w:val="20"/>
          </w:rPr>
          <w:t>http://di.adm.agh.edu.pl/public/mendyk/HS/AGH_OPS.pdf</w:t>
        </w:r>
      </w:hyperlink>
    </w:p>
    <w:p w:rsidR="003500E3" w:rsidRDefault="003500E3" w:rsidP="003500E3">
      <w:pPr>
        <w:spacing w:after="160" w:line="252" w:lineRule="auto"/>
        <w:ind w:left="426"/>
        <w:jc w:val="both"/>
        <w:rPr>
          <w:rFonts w:ascii="Verdana" w:hAnsi="Verdana"/>
          <w:lang w:eastAsia="en-US"/>
        </w:rPr>
      </w:pPr>
    </w:p>
    <w:p w:rsidR="003500E3" w:rsidRDefault="003500E3" w:rsidP="003500E3">
      <w:pPr>
        <w:numPr>
          <w:ilvl w:val="0"/>
          <w:numId w:val="1"/>
        </w:numPr>
        <w:spacing w:after="160" w:line="252" w:lineRule="auto"/>
        <w:ind w:left="426"/>
        <w:contextualSpacing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>Prosimy o informację, czy tynkowanie ścian należy uwzględniać do wysokości sufitów podwieszanych, czy na całą wysokość ścian do stropu.</w:t>
      </w:r>
    </w:p>
    <w:p w:rsidR="003500E3" w:rsidRDefault="003500E3" w:rsidP="003500E3">
      <w:pPr>
        <w:spacing w:after="160" w:line="252" w:lineRule="auto"/>
        <w:ind w:left="426"/>
        <w:jc w:val="both"/>
        <w:rPr>
          <w:sz w:val="24"/>
          <w:szCs w:val="24"/>
        </w:rPr>
      </w:pPr>
      <w:r>
        <w:rPr>
          <w:rFonts w:ascii="Verdana" w:hAnsi="Verdana"/>
          <w:b/>
          <w:bCs/>
          <w:lang w:eastAsia="en-US"/>
        </w:rPr>
        <w:t>Odp.: Tynkowanie ścian należy przewidzieć do wysokości sufitów podwieszanych.</w:t>
      </w:r>
    </w:p>
    <w:p w:rsidR="003500E3" w:rsidRDefault="003500E3" w:rsidP="003500E3">
      <w:pPr>
        <w:spacing w:after="160" w:line="252" w:lineRule="auto"/>
        <w:ind w:left="426"/>
        <w:contextualSpacing/>
        <w:jc w:val="both"/>
        <w:rPr>
          <w:rFonts w:ascii="Verdana" w:hAnsi="Verdana"/>
          <w:lang w:eastAsia="en-US"/>
        </w:rPr>
      </w:pPr>
    </w:p>
    <w:p w:rsidR="003500E3" w:rsidRDefault="003500E3" w:rsidP="003500E3">
      <w:pPr>
        <w:numPr>
          <w:ilvl w:val="0"/>
          <w:numId w:val="1"/>
        </w:numPr>
        <w:spacing w:after="160" w:line="252" w:lineRule="auto"/>
        <w:ind w:left="426"/>
        <w:contextualSpacing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>Prosimy o udostępnienie szczegółowych rysunków wykonawczych montażu płyt MDF w Sali A oraz podanie parametrów technicznych podkonstrukcji.</w:t>
      </w:r>
    </w:p>
    <w:p w:rsidR="003500E3" w:rsidRDefault="003500E3" w:rsidP="003500E3">
      <w:pPr>
        <w:spacing w:line="252" w:lineRule="auto"/>
        <w:ind w:left="426"/>
        <w:jc w:val="both"/>
        <w:rPr>
          <w:sz w:val="24"/>
          <w:szCs w:val="24"/>
        </w:rPr>
      </w:pPr>
      <w:r>
        <w:rPr>
          <w:rFonts w:ascii="Verdana" w:hAnsi="Verdana"/>
          <w:b/>
          <w:bCs/>
          <w:lang w:eastAsia="en-US"/>
        </w:rPr>
        <w:t>Odp.: Należy przyjąć podkonstrukcję zalecaną przez producenta do montażu płyt MDF akustycznych.</w:t>
      </w:r>
    </w:p>
    <w:p w:rsidR="003500E3" w:rsidRDefault="003500E3" w:rsidP="003500E3">
      <w:pPr>
        <w:spacing w:line="252" w:lineRule="auto"/>
        <w:ind w:left="426"/>
        <w:jc w:val="both"/>
      </w:pPr>
      <w:r>
        <w:rPr>
          <w:rFonts w:ascii="Verdana" w:hAnsi="Verdana"/>
          <w:b/>
          <w:bCs/>
          <w:lang w:eastAsia="en-US"/>
        </w:rPr>
        <w:t>Poniżej parametry przykładowej podkonstrukcji:</w:t>
      </w:r>
    </w:p>
    <w:p w:rsidR="003500E3" w:rsidRDefault="003500E3" w:rsidP="003500E3">
      <w:pPr>
        <w:spacing w:line="252" w:lineRule="auto"/>
        <w:ind w:left="426"/>
        <w:jc w:val="both"/>
      </w:pPr>
      <w:r>
        <w:rPr>
          <w:rFonts w:ascii="Verdana" w:hAnsi="Verdana"/>
          <w:b/>
          <w:bCs/>
          <w:lang w:eastAsia="en-US"/>
        </w:rPr>
        <w:t>Łaty drewniane 4x6cm w układzie poziomym co ok. 45cm mocowana do ściany na kołki rozporowe. Montaż płyty MDF do podkonstrukcji – za pomocą klipsów montażowych.</w:t>
      </w:r>
    </w:p>
    <w:p w:rsidR="003500E3" w:rsidRDefault="003500E3" w:rsidP="003500E3">
      <w:pPr>
        <w:spacing w:line="252" w:lineRule="auto"/>
        <w:ind w:left="426"/>
        <w:jc w:val="both"/>
      </w:pPr>
      <w:r>
        <w:rPr>
          <w:rFonts w:ascii="Verdana" w:hAnsi="Verdana"/>
          <w:b/>
          <w:bCs/>
          <w:lang w:eastAsia="en-US"/>
        </w:rPr>
        <w:t>W załączeniu rysunek poglądowy montażu:</w:t>
      </w:r>
    </w:p>
    <w:p w:rsidR="003500E3" w:rsidRDefault="003500E3" w:rsidP="003500E3">
      <w:pPr>
        <w:spacing w:line="252" w:lineRule="auto"/>
        <w:ind w:left="426"/>
        <w:jc w:val="both"/>
        <w:rPr>
          <w:rFonts w:ascii="Verdana" w:hAnsi="Verdana"/>
          <w:b/>
          <w:bCs/>
          <w:lang w:eastAsia="en-US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2" o:spid="_x0000_s1026" type="#_x0000_t75" style="position:absolute;left:0;text-align:left;margin-left:0;margin-top:.05pt;width:439.4pt;height:151.85pt;z-index:251659264;visibility:visible;mso-wrap-style:square;mso-wrap-distance-left:0;mso-wrap-distance-top:0;mso-wrap-distance-right:0;mso-wrap-distance-bottom:0;mso-position-horizontal:center;mso-position-horizontal-relative:text;mso-position-vertical:absolute;mso-position-vertical-relative:text">
            <v:imagedata r:id="rId8" o:title=""/>
            <w10:wrap type="square" side="largest"/>
          </v:shape>
        </w:pict>
      </w:r>
    </w:p>
    <w:p w:rsidR="003500E3" w:rsidRDefault="003500E3" w:rsidP="003500E3">
      <w:pPr>
        <w:spacing w:line="252" w:lineRule="auto"/>
        <w:ind w:left="426"/>
        <w:jc w:val="both"/>
        <w:rPr>
          <w:sz w:val="24"/>
          <w:szCs w:val="24"/>
        </w:rPr>
      </w:pPr>
      <w:r>
        <w:rPr>
          <w:rFonts w:ascii="Verdana" w:hAnsi="Verdana"/>
          <w:b/>
          <w:bCs/>
          <w:lang w:eastAsia="en-US"/>
        </w:rPr>
        <w:t xml:space="preserve">dopuszcza się inne sposoby montażu zalecane przez dostawcę płyt. </w:t>
      </w:r>
    </w:p>
    <w:p w:rsidR="003500E3" w:rsidRDefault="003500E3" w:rsidP="003500E3">
      <w:pPr>
        <w:spacing w:line="252" w:lineRule="auto"/>
        <w:ind w:left="426"/>
        <w:jc w:val="both"/>
        <w:rPr>
          <w:rFonts w:ascii="Verdana" w:hAnsi="Verdana"/>
          <w:b/>
          <w:bCs/>
          <w:lang w:eastAsia="en-US"/>
        </w:rPr>
      </w:pPr>
      <w:r>
        <w:rPr>
          <w:rFonts w:ascii="Verdana" w:hAnsi="Verdana"/>
          <w:b/>
          <w:bCs/>
          <w:lang w:eastAsia="en-US"/>
        </w:rPr>
        <w:t>Montaż paneli należy rozpocząć od dołu od profilu startowego.</w:t>
      </w:r>
    </w:p>
    <w:p w:rsidR="003500E3" w:rsidRDefault="003500E3" w:rsidP="003500E3">
      <w:pPr>
        <w:spacing w:line="252" w:lineRule="auto"/>
        <w:ind w:left="426"/>
        <w:jc w:val="both"/>
        <w:rPr>
          <w:rFonts w:ascii="Verdana" w:hAnsi="Verdana"/>
          <w:b/>
          <w:bCs/>
          <w:lang w:eastAsia="en-US"/>
        </w:rPr>
      </w:pPr>
    </w:p>
    <w:p w:rsidR="003500E3" w:rsidRDefault="003500E3" w:rsidP="003500E3">
      <w:pPr>
        <w:spacing w:line="252" w:lineRule="auto"/>
        <w:ind w:left="426"/>
        <w:jc w:val="both"/>
        <w:rPr>
          <w:sz w:val="24"/>
          <w:szCs w:val="24"/>
        </w:rPr>
      </w:pPr>
      <w:r>
        <w:rPr>
          <w:rFonts w:ascii="Verdana" w:hAnsi="Verdana"/>
          <w:b/>
          <w:bCs/>
          <w:lang w:eastAsia="en-US"/>
        </w:rPr>
        <w:t xml:space="preserve">W poniższym linku zamawiający załącza rysunek AW-15_korekta na którym naniesiono wymiary płyt oraz oznaczono miejsca gdzie ma być wykonany tynk. </w:t>
      </w:r>
    </w:p>
    <w:p w:rsidR="003500E3" w:rsidRDefault="003500E3" w:rsidP="003500E3">
      <w:pPr>
        <w:spacing w:line="252" w:lineRule="auto"/>
        <w:ind w:left="426"/>
        <w:jc w:val="both"/>
        <w:rPr>
          <w:rFonts w:ascii="Verdana" w:hAnsi="Verdana"/>
          <w:b/>
          <w:bCs/>
          <w:lang w:eastAsia="en-US"/>
        </w:rPr>
      </w:pPr>
    </w:p>
    <w:p w:rsidR="003500E3" w:rsidRDefault="003500E3" w:rsidP="003500E3">
      <w:pPr>
        <w:spacing w:line="252" w:lineRule="auto"/>
        <w:ind w:left="426"/>
        <w:jc w:val="both"/>
        <w:rPr>
          <w:b/>
          <w:sz w:val="24"/>
          <w:szCs w:val="24"/>
        </w:rPr>
      </w:pPr>
      <w:hyperlink r:id="rId9" w:tgtFrame="_blank" w:history="1">
        <w:r>
          <w:rPr>
            <w:rStyle w:val="Hipercze"/>
            <w:b/>
          </w:rPr>
          <w:t>http://di.adm.agh.edu.pl/przetargi/di/zj/nhs/uzupelnione-w-trakcie-przetargu/AW-15_koretka.pdf</w:t>
        </w:r>
      </w:hyperlink>
    </w:p>
    <w:p w:rsidR="003500E3" w:rsidRDefault="003500E3" w:rsidP="003500E3">
      <w:pPr>
        <w:spacing w:line="252" w:lineRule="auto"/>
        <w:ind w:left="426"/>
        <w:jc w:val="both"/>
        <w:rPr>
          <w:rFonts w:ascii="Verdana" w:hAnsi="Verdana"/>
          <w:b/>
          <w:bCs/>
          <w:lang w:eastAsia="en-US"/>
        </w:rPr>
      </w:pPr>
    </w:p>
    <w:p w:rsidR="003500E3" w:rsidRDefault="003500E3" w:rsidP="003500E3">
      <w:pPr>
        <w:numPr>
          <w:ilvl w:val="0"/>
          <w:numId w:val="1"/>
        </w:numPr>
        <w:spacing w:after="160" w:line="252" w:lineRule="auto"/>
        <w:ind w:left="426"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>Prosimy  informację, jakie drzwi powinny być pomiędzy pomieszczeniami 1.24 a 1.25 ? Brak oznaczenia w projekcie.</w:t>
      </w:r>
    </w:p>
    <w:p w:rsidR="003500E3" w:rsidRDefault="003500E3" w:rsidP="003500E3">
      <w:pPr>
        <w:spacing w:after="160" w:line="252" w:lineRule="auto"/>
        <w:ind w:left="426"/>
        <w:contextualSpacing/>
        <w:rPr>
          <w:rFonts w:ascii="Verdana" w:eastAsia="Calibri" w:hAnsi="Verdana"/>
          <w:lang w:eastAsia="en-US"/>
        </w:rPr>
      </w:pPr>
      <w:r>
        <w:rPr>
          <w:noProof/>
        </w:rPr>
        <w:lastRenderedPageBreak/>
        <w:pict>
          <v:shape id="_x0000_i1027" type="#_x0000_t75" style="width:244.5pt;height:117.75pt;visibility:visible;mso-wrap-style:square">
            <v:imagedata r:id="rId10" o:title=""/>
          </v:shape>
        </w:pict>
      </w:r>
    </w:p>
    <w:p w:rsidR="003500E3" w:rsidRDefault="003500E3" w:rsidP="003500E3">
      <w:pPr>
        <w:spacing w:after="160" w:line="252" w:lineRule="auto"/>
        <w:ind w:left="426"/>
        <w:jc w:val="both"/>
        <w:rPr>
          <w:rFonts w:ascii="Verdana" w:hAnsi="Verdana"/>
          <w:b/>
          <w:bCs/>
          <w:lang w:eastAsia="en-US"/>
        </w:rPr>
      </w:pPr>
      <w:r>
        <w:rPr>
          <w:rFonts w:ascii="Verdana" w:hAnsi="Verdana"/>
          <w:b/>
          <w:bCs/>
          <w:lang w:eastAsia="en-US"/>
        </w:rPr>
        <w:t>Odp.: Informujemy że przedstawione drzwi to drzwi da sauny, które będą dostarczane razem z sauną i nie należy ich wyceniać, dlatego nie zostały ujęte w zestawieniu.</w:t>
      </w:r>
    </w:p>
    <w:p w:rsidR="003500E3" w:rsidRDefault="003500E3" w:rsidP="003500E3">
      <w:pPr>
        <w:spacing w:after="160" w:line="252" w:lineRule="auto"/>
        <w:ind w:left="426"/>
        <w:jc w:val="both"/>
        <w:rPr>
          <w:rFonts w:ascii="Verdana" w:hAnsi="Verdana"/>
          <w:b/>
          <w:bCs/>
          <w:lang w:eastAsia="en-US"/>
        </w:rPr>
      </w:pPr>
    </w:p>
    <w:p w:rsidR="003500E3" w:rsidRDefault="003500E3" w:rsidP="003500E3">
      <w:pPr>
        <w:numPr>
          <w:ilvl w:val="0"/>
          <w:numId w:val="1"/>
        </w:numPr>
        <w:spacing w:after="160" w:line="252" w:lineRule="auto"/>
        <w:ind w:left="426"/>
        <w:contextualSpacing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2. Prosimy o wyjaśnienie liter i symboli:  </w:t>
      </w:r>
      <w:r>
        <w:rPr>
          <w:rFonts w:ascii="Verdana" w:eastAsia="Calibri" w:hAnsi="Verdana"/>
          <w:b/>
          <w:bCs/>
          <w:lang w:eastAsia="en-US"/>
        </w:rPr>
        <w:t>W ,  j ,  Z , °  </w:t>
      </w:r>
      <w:r>
        <w:rPr>
          <w:rFonts w:ascii="Verdana" w:eastAsia="Calibri" w:hAnsi="Verdana"/>
          <w:lang w:eastAsia="en-US"/>
        </w:rPr>
        <w:t> w opisie niektórych drzwi (np. D2NWb, D2j, D2gZ, D2°c ). Brak oznaczenia w legendzie.</w:t>
      </w:r>
    </w:p>
    <w:p w:rsidR="003500E3" w:rsidRDefault="003500E3" w:rsidP="003500E3">
      <w:pPr>
        <w:spacing w:line="252" w:lineRule="auto"/>
        <w:ind w:left="426"/>
        <w:rPr>
          <w:sz w:val="24"/>
          <w:szCs w:val="24"/>
        </w:rPr>
      </w:pPr>
      <w:r>
        <w:rPr>
          <w:rFonts w:ascii="Verdana" w:hAnsi="Verdana"/>
          <w:b/>
        </w:rPr>
        <w:t>Odp.:</w:t>
      </w:r>
    </w:p>
    <w:p w:rsidR="003500E3" w:rsidRDefault="003500E3" w:rsidP="003500E3">
      <w:pPr>
        <w:spacing w:line="252" w:lineRule="auto"/>
        <w:ind w:left="426"/>
      </w:pPr>
      <w:r>
        <w:rPr>
          <w:rFonts w:ascii="Verdana" w:hAnsi="Verdana"/>
          <w:b/>
        </w:rPr>
        <w:t>j – kolor – jasny dąb;</w:t>
      </w:r>
    </w:p>
    <w:p w:rsidR="003500E3" w:rsidRDefault="003500E3" w:rsidP="003500E3">
      <w:pPr>
        <w:spacing w:line="252" w:lineRule="auto"/>
        <w:ind w:left="426"/>
      </w:pPr>
      <w:r>
        <w:rPr>
          <w:rFonts w:ascii="Verdana" w:hAnsi="Verdana"/>
          <w:b/>
        </w:rPr>
        <w:t>c – kolor czerwony;</w:t>
      </w:r>
    </w:p>
    <w:p w:rsidR="003500E3" w:rsidRDefault="003500E3" w:rsidP="003500E3">
      <w:pPr>
        <w:spacing w:line="252" w:lineRule="auto"/>
        <w:ind w:left="426"/>
      </w:pPr>
      <w:r>
        <w:rPr>
          <w:rFonts w:ascii="Verdana" w:hAnsi="Verdana"/>
          <w:b/>
        </w:rPr>
        <w:t>g – kolor grafitowy;</w:t>
      </w:r>
    </w:p>
    <w:p w:rsidR="003500E3" w:rsidRDefault="003500E3" w:rsidP="003500E3">
      <w:pPr>
        <w:spacing w:line="252" w:lineRule="auto"/>
        <w:ind w:left="426"/>
      </w:pPr>
      <w:r>
        <w:rPr>
          <w:rFonts w:ascii="Verdana" w:hAnsi="Verdana"/>
          <w:b/>
        </w:rPr>
        <w:t>b – kolor biały;</w:t>
      </w:r>
    </w:p>
    <w:p w:rsidR="003500E3" w:rsidRDefault="003500E3" w:rsidP="003500E3">
      <w:pPr>
        <w:spacing w:line="252" w:lineRule="auto"/>
        <w:ind w:left="426"/>
      </w:pPr>
      <w:r>
        <w:rPr>
          <w:rFonts w:ascii="Verdana" w:hAnsi="Verdana"/>
          <w:b/>
        </w:rPr>
        <w:t>z – drzwi w kolorze zielonym;</w:t>
      </w:r>
    </w:p>
    <w:p w:rsidR="003500E3" w:rsidRDefault="003500E3" w:rsidP="003500E3">
      <w:pPr>
        <w:spacing w:line="252" w:lineRule="auto"/>
        <w:ind w:left="426"/>
      </w:pPr>
      <w:r>
        <w:rPr>
          <w:rFonts w:ascii="Verdana" w:hAnsi="Verdana"/>
          <w:b/>
        </w:rPr>
        <w:t>Z – drzwi zewnętrzne;</w:t>
      </w:r>
    </w:p>
    <w:p w:rsidR="003500E3" w:rsidRDefault="003500E3" w:rsidP="003500E3">
      <w:pPr>
        <w:spacing w:line="252" w:lineRule="auto"/>
        <w:ind w:left="426"/>
      </w:pPr>
      <w:r>
        <w:rPr>
          <w:rFonts w:ascii="Verdana" w:hAnsi="Verdana"/>
          <w:b/>
        </w:rPr>
        <w:t>NW – drzwi do pomieszczeń sanitarnych osób niepełnosprawnych – wyposażone w antaby i samozamykacze (z otworami nawiewnymi);</w:t>
      </w:r>
    </w:p>
    <w:p w:rsidR="003500E3" w:rsidRDefault="003500E3" w:rsidP="003500E3">
      <w:pPr>
        <w:spacing w:line="252" w:lineRule="auto"/>
        <w:ind w:left="426"/>
      </w:pPr>
      <w:r>
        <w:rPr>
          <w:rFonts w:ascii="Verdana" w:hAnsi="Verdana"/>
          <w:b/>
          <w:vertAlign w:val="superscript"/>
        </w:rPr>
        <w:t>O</w:t>
      </w:r>
      <w:r>
        <w:rPr>
          <w:rFonts w:ascii="Verdana" w:hAnsi="Verdana"/>
          <w:b/>
        </w:rPr>
        <w:t xml:space="preserve"> – drzwi do pomieszczeń sanitarnych z otworami nawiewnymi;</w:t>
      </w:r>
    </w:p>
    <w:p w:rsidR="003500E3" w:rsidRPr="00943AEF" w:rsidRDefault="003500E3" w:rsidP="003500E3">
      <w:pPr>
        <w:pStyle w:val="Tekstpodstawowy"/>
        <w:jc w:val="left"/>
        <w:rPr>
          <w:rFonts w:ascii="Verdana" w:hAnsi="Verdana"/>
          <w:sz w:val="20"/>
        </w:rPr>
      </w:pPr>
    </w:p>
    <w:sectPr w:rsidR="003500E3" w:rsidRPr="00943AEF" w:rsidSect="00347E1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E0C" w:rsidRDefault="003B4E0C">
      <w:r>
        <w:separator/>
      </w:r>
    </w:p>
  </w:endnote>
  <w:endnote w:type="continuationSeparator" w:id="0">
    <w:p w:rsidR="003B4E0C" w:rsidRDefault="003B4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E0C" w:rsidRDefault="003B4E0C">
      <w:r>
        <w:separator/>
      </w:r>
    </w:p>
  </w:footnote>
  <w:footnote w:type="continuationSeparator" w:id="0">
    <w:p w:rsidR="003B4E0C" w:rsidRDefault="003B4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402DA5"/>
    <w:multiLevelType w:val="multilevel"/>
    <w:tmpl w:val="B5D2B0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468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E0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500E3"/>
    <w:rsid w:val="003B15E7"/>
    <w:rsid w:val="003B3888"/>
    <w:rsid w:val="003B4E0C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BE0ECF"/>
    <w:rsid w:val="00BE359C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8123BF"/>
  <w15:chartTrackingRefBased/>
  <w15:docId w15:val="{88C7D571-E759-4446-9051-F6F6FFB6D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qFormat/>
    <w:locked/>
    <w:rsid w:val="003500E3"/>
    <w:rPr>
      <w:sz w:val="24"/>
      <w:szCs w:val="24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3500E3"/>
    <w:pPr>
      <w:ind w:left="720"/>
      <w:contextualSpacing/>
    </w:pPr>
    <w:rPr>
      <w:sz w:val="24"/>
      <w:szCs w:val="24"/>
    </w:rPr>
  </w:style>
  <w:style w:type="character" w:customStyle="1" w:styleId="Mocnowyrniony">
    <w:name w:val="Mocno wyróżniony"/>
    <w:qFormat/>
    <w:rsid w:val="003500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HS/AGH_OPS.pdf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di.adm.agh.edu.pl/przetargi/di/zj/nhs/uzupelnione-w-trakcie-przetargu/AW-15_koretka.pdf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458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5</cp:revision>
  <cp:lastPrinted>1601-01-01T00:00:00Z</cp:lastPrinted>
  <dcterms:created xsi:type="dcterms:W3CDTF">2020-08-04T05:08:00Z</dcterms:created>
  <dcterms:modified xsi:type="dcterms:W3CDTF">2020-08-04T05:13:00Z</dcterms:modified>
</cp:coreProperties>
</file>