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C6B40" w:rsidRPr="009C6B40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9C6B40" w:rsidRPr="009C6B4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C6B40" w:rsidRPr="009C6B40">
        <w:rPr>
          <w:rFonts w:ascii="Verdana" w:hAnsi="Verdana"/>
          <w:sz w:val="16"/>
          <w:szCs w:val="16"/>
        </w:rPr>
        <w:t>2020-07-29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DB37E8">
        <w:rPr>
          <w:rFonts w:ascii="Verdana" w:hAnsi="Verdana"/>
          <w:sz w:val="20"/>
        </w:rPr>
        <w:t xml:space="preserve"> (25)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9C6B40" w:rsidRPr="009C6B40">
        <w:rPr>
          <w:rFonts w:ascii="Verdana" w:hAnsi="Verdana"/>
          <w:b/>
          <w:sz w:val="20"/>
        </w:rPr>
        <w:t>2020-07-29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C6B40" w:rsidRPr="009C6B40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DB37E8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9C6B40" w:rsidRPr="009C6B40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DB37E8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5A3FB2" w:rsidRDefault="005A3FB2" w:rsidP="005A3FB2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</w:rPr>
      </w:pPr>
      <w:r>
        <w:rPr>
          <w:rFonts w:ascii="Verdana" w:hAnsi="Verdana"/>
          <w:lang w:eastAsia="en-US"/>
        </w:rPr>
        <w:t>Prosimy udostępnienie projektu informacji wizualnej zewnętrznej budynku, brak projektu.</w:t>
      </w:r>
      <w:r>
        <w:rPr>
          <w:rFonts w:ascii="Verdana" w:hAnsi="Verdana"/>
        </w:rPr>
        <w:t xml:space="preserve">   </w:t>
      </w:r>
      <w:r>
        <w:rPr>
          <w:rFonts w:ascii="Verdana" w:hAnsi="Verdana"/>
          <w:b/>
          <w:lang w:eastAsia="en-US"/>
        </w:rPr>
        <w:t>Odp.: Elementy identyfikacji wizualnej które należy ująć w ofercie zostały pokazane na rys. AW-36_koretka, AW- 36a, AW-36b – rysunki w poniższym linku, oraz pokazane na w projekcie wnętrz Wiz 1-2, Wiz 3-4, Wiz 5-6, Wiz 7a-8a,Wiz 9_10, Wiz 11_12, Wiz 13</w:t>
      </w:r>
    </w:p>
    <w:p w:rsidR="005A3FB2" w:rsidRPr="005A3FB2" w:rsidRDefault="0029731E" w:rsidP="005A3FB2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16"/>
          <w:szCs w:val="20"/>
        </w:rPr>
      </w:pPr>
      <w:hyperlink r:id="rId7" w:history="1">
        <w:r w:rsidR="005A3FB2" w:rsidRPr="005A3FB2">
          <w:rPr>
            <w:rStyle w:val="Hipercze"/>
            <w:rFonts w:ascii="Verdana" w:hAnsi="Verdana"/>
            <w:b/>
            <w:sz w:val="16"/>
            <w:szCs w:val="20"/>
          </w:rPr>
          <w:t>http://di.adm.agh.edu.pl/public/mendyk/HS/AW-36_korekta.pdf</w:t>
        </w:r>
      </w:hyperlink>
    </w:p>
    <w:p w:rsidR="005A3FB2" w:rsidRPr="005A3FB2" w:rsidRDefault="005A3FB2" w:rsidP="005A3FB2">
      <w:pPr>
        <w:pStyle w:val="Akapitzlist"/>
        <w:rPr>
          <w:rFonts w:ascii="Verdana" w:hAnsi="Verdana"/>
          <w:b/>
          <w:sz w:val="18"/>
          <w:szCs w:val="20"/>
        </w:rPr>
      </w:pPr>
    </w:p>
    <w:p w:rsidR="005A3FB2" w:rsidRPr="005A3FB2" w:rsidRDefault="0029731E" w:rsidP="005A3FB2">
      <w:pPr>
        <w:pStyle w:val="Akapitzlist"/>
        <w:ind w:left="360"/>
        <w:rPr>
          <w:rFonts w:ascii="Verdana" w:hAnsi="Verdana"/>
          <w:b/>
          <w:sz w:val="16"/>
          <w:szCs w:val="20"/>
        </w:rPr>
      </w:pPr>
      <w:hyperlink r:id="rId8" w:history="1">
        <w:r w:rsidR="005A3FB2" w:rsidRPr="005A3FB2">
          <w:rPr>
            <w:rStyle w:val="Hipercze"/>
            <w:rFonts w:ascii="Verdana" w:hAnsi="Verdana"/>
            <w:b/>
            <w:sz w:val="16"/>
            <w:szCs w:val="20"/>
          </w:rPr>
          <w:t>http://di.adm.agh.edu.pl/public/mendyk/HS/AW36a_LOGO_AGH.pdf</w:t>
        </w:r>
      </w:hyperlink>
    </w:p>
    <w:p w:rsidR="005A3FB2" w:rsidRDefault="005A3FB2" w:rsidP="005A3FB2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B603B2" w:rsidRDefault="0029731E" w:rsidP="00B603B2">
      <w:pPr>
        <w:pStyle w:val="Akapitzlist"/>
        <w:ind w:left="360"/>
        <w:rPr>
          <w:rStyle w:val="Hipercze"/>
          <w:rFonts w:ascii="Verdana" w:hAnsi="Verdana"/>
          <w:b/>
          <w:sz w:val="16"/>
          <w:szCs w:val="20"/>
        </w:rPr>
      </w:pPr>
      <w:hyperlink r:id="rId9" w:history="1">
        <w:r w:rsidR="00B603B2" w:rsidRPr="0061623B">
          <w:rPr>
            <w:rStyle w:val="Hipercze"/>
            <w:rFonts w:ascii="Verdana" w:hAnsi="Verdana"/>
            <w:b/>
            <w:sz w:val="16"/>
            <w:szCs w:val="20"/>
          </w:rPr>
          <w:t>http://di.adm.agh.edu.pl/przetargi/di/zj/nhs/uzupelnione-w-trakcie-przetargu/AW36b.pdf</w:t>
        </w:r>
      </w:hyperlink>
    </w:p>
    <w:p w:rsidR="00B603B2" w:rsidRPr="005A3FB2" w:rsidRDefault="00B603B2" w:rsidP="00B603B2">
      <w:pPr>
        <w:pStyle w:val="Akapitzlist"/>
        <w:ind w:left="360"/>
        <w:rPr>
          <w:sz w:val="20"/>
        </w:rPr>
      </w:pPr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</w:rPr>
      </w:pPr>
      <w:r>
        <w:rPr>
          <w:rFonts w:ascii="Verdana" w:hAnsi="Verdana"/>
          <w:lang w:eastAsia="en-US"/>
        </w:rPr>
        <w:t>Prosimy o udostępnienie informacji wizualnej wewnętrznej budynku. Na rysunku AW-36 ujęto jedynie część oznakowania wewnętrznego budynku.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eastAsia="en-US"/>
        </w:rPr>
        <w:t xml:space="preserve">     </w:t>
      </w:r>
      <w:r>
        <w:rPr>
          <w:rFonts w:ascii="Verdana" w:hAnsi="Verdana"/>
          <w:b/>
          <w:lang w:eastAsia="en-US"/>
        </w:rPr>
        <w:br/>
        <w:t xml:space="preserve">Odp.: Elementy identyfikacji wizualnej które należy ująć w ofercie zostały pokazane na </w:t>
      </w:r>
      <w:r>
        <w:rPr>
          <w:rFonts w:ascii="Verdana" w:hAnsi="Verdana"/>
          <w:b/>
          <w:lang w:eastAsia="en-US"/>
        </w:rPr>
        <w:br/>
        <w:t>rys. AW</w:t>
      </w:r>
      <w:r w:rsidRPr="00B603B2">
        <w:rPr>
          <w:rFonts w:ascii="Verdana" w:hAnsi="Verdana"/>
          <w:b/>
          <w:lang w:eastAsia="en-US"/>
        </w:rPr>
        <w:t>-36_koretka, AW- 36a, AW-36b, które zamawiający zamieszcza w poniższych linkach</w:t>
      </w:r>
    </w:p>
    <w:p w:rsidR="005A3FB2" w:rsidRPr="005A3FB2" w:rsidRDefault="0029731E" w:rsidP="005A3FB2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16"/>
          <w:szCs w:val="20"/>
        </w:rPr>
      </w:pPr>
      <w:hyperlink r:id="rId10" w:history="1">
        <w:r w:rsidR="005A3FB2" w:rsidRPr="005A3FB2">
          <w:rPr>
            <w:rStyle w:val="Hipercze"/>
            <w:rFonts w:ascii="Verdana" w:hAnsi="Verdana"/>
            <w:b/>
            <w:sz w:val="16"/>
            <w:szCs w:val="20"/>
          </w:rPr>
          <w:t>http://di.adm.agh.edu.pl/public/mendyk/HS/AW-36_korekta.pdf</w:t>
        </w:r>
      </w:hyperlink>
    </w:p>
    <w:p w:rsidR="005A3FB2" w:rsidRPr="005A3FB2" w:rsidRDefault="005A3FB2" w:rsidP="005A3FB2">
      <w:pPr>
        <w:pStyle w:val="Akapitzlist"/>
        <w:ind w:left="360"/>
        <w:rPr>
          <w:rFonts w:ascii="Verdana" w:hAnsi="Verdana"/>
          <w:b/>
          <w:sz w:val="16"/>
          <w:szCs w:val="20"/>
        </w:rPr>
      </w:pPr>
    </w:p>
    <w:p w:rsidR="005A3FB2" w:rsidRPr="005A3FB2" w:rsidRDefault="0029731E" w:rsidP="005A3FB2">
      <w:pPr>
        <w:pStyle w:val="Akapitzlist"/>
        <w:ind w:left="360"/>
        <w:rPr>
          <w:rStyle w:val="Hipercze"/>
          <w:sz w:val="20"/>
        </w:rPr>
      </w:pPr>
      <w:hyperlink r:id="rId11" w:history="1">
        <w:r w:rsidR="005A3FB2" w:rsidRPr="005A3FB2">
          <w:rPr>
            <w:rStyle w:val="Hipercze"/>
            <w:rFonts w:ascii="Verdana" w:hAnsi="Verdana"/>
            <w:b/>
            <w:sz w:val="16"/>
            <w:szCs w:val="20"/>
          </w:rPr>
          <w:t>http://di.adm.agh.edu.pl/public/mendyk/HS/AW36a_LOGO_AGH.pdf</w:t>
        </w:r>
      </w:hyperlink>
    </w:p>
    <w:p w:rsidR="005A3FB2" w:rsidRPr="005A3FB2" w:rsidRDefault="005A3FB2" w:rsidP="005A3FB2">
      <w:pPr>
        <w:pStyle w:val="Akapitzlist"/>
        <w:ind w:left="360"/>
        <w:rPr>
          <w:rStyle w:val="Hipercze"/>
          <w:rFonts w:ascii="Verdana" w:hAnsi="Verdana"/>
          <w:b/>
          <w:sz w:val="16"/>
          <w:szCs w:val="20"/>
        </w:rPr>
      </w:pPr>
    </w:p>
    <w:p w:rsidR="005A3FB2" w:rsidRPr="005A3FB2" w:rsidRDefault="0029731E" w:rsidP="005A3FB2">
      <w:pPr>
        <w:pStyle w:val="Akapitzlist"/>
        <w:ind w:left="360"/>
        <w:rPr>
          <w:sz w:val="20"/>
        </w:rPr>
      </w:pPr>
      <w:hyperlink r:id="rId12" w:tgtFrame="_blank" w:history="1">
        <w:r w:rsidR="005A3FB2" w:rsidRPr="005A3FB2">
          <w:rPr>
            <w:rStyle w:val="Hipercze"/>
            <w:rFonts w:ascii="Verdana" w:hAnsi="Verdana"/>
            <w:b/>
            <w:sz w:val="16"/>
            <w:szCs w:val="20"/>
          </w:rPr>
          <w:t>http://di.adm.agh.edu.pl/przetargi/di/zj/nhs/uzupelnione-w-trakcie-przetargu/AW36b.pdf</w:t>
        </w:r>
      </w:hyperlink>
    </w:p>
    <w:p w:rsidR="005A3FB2" w:rsidRDefault="005A3FB2" w:rsidP="005A3FB2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</w:rPr>
      </w:pPr>
      <w:r>
        <w:rPr>
          <w:rFonts w:ascii="Verdana" w:hAnsi="Verdana"/>
          <w:lang w:eastAsia="en-US"/>
        </w:rPr>
        <w:t>Zgodnie z rysunkiem AW-36 dla tabliczki z napisem „Toaleta damska” wysokość liter to 10cm, cała tabliczka w takim razie będzie musiała mieć wymiary 155 x 40 cm. Czy to nie są zbyt duże gabaryty?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 xml:space="preserve">Odp.:  </w:t>
      </w:r>
      <w:bookmarkStart w:id="0" w:name="__DdeLink__2757_2453944054"/>
      <w:bookmarkEnd w:id="0"/>
      <w:r>
        <w:rPr>
          <w:rFonts w:ascii="Verdana" w:hAnsi="Verdana"/>
          <w:b/>
          <w:lang w:eastAsia="en-US"/>
        </w:rPr>
        <w:t>Napisy i piktogramy które znajdują się na rysunku AW – 36_koretka mają być wykonane z folii , lub z płyt.  (zgodnie z opisem na rysunku). Jedynie tabliczki przy drzwiowe  należy wykonać z aluminium. Projektuje się 28 szt., tabliczek do montażu na III piętrze – zgodnie z załączonym w powyższych odpowiedziach  rysunkiem AW-36b</w:t>
      </w:r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</w:rPr>
      </w:pPr>
      <w:r>
        <w:rPr>
          <w:rFonts w:ascii="Verdana" w:hAnsi="Verdana"/>
          <w:lang w:eastAsia="en-US"/>
        </w:rPr>
        <w:t>Czy piktogram z rysunkiem człowieka (rysunek AW-36) ma być wykonany na tabliczce z białym tłem (wtedy wymiar 93 x 40 cm), czy wykonać należy samą wyciętą postać o wysokości 51 cm? Czy te wymiary nie są za duże?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 xml:space="preserve">Odp.: Napisy i piktogramy które znajdują się na rysunku AW – 36_koretka mają być wykonane z folii , lub z płyt.  (zgodnie z opisem na rysunku). Jedynie tabliczki przy drzwiowe  należy wykonać z aluminium. Projektuje się 28 szt., tabliczek do montażu na III piętrze – zgodnie z załączonym </w:t>
      </w:r>
      <w:r>
        <w:rPr>
          <w:rFonts w:ascii="Verdana" w:hAnsi="Verdana"/>
          <w:b/>
          <w:lang w:eastAsia="en-US"/>
        </w:rPr>
        <w:br/>
        <w:t>w powyższych odpowiedziach  rysunkiem  AW-36b</w:t>
      </w:r>
    </w:p>
    <w:p w:rsidR="005A3FB2" w:rsidRDefault="005A3FB2" w:rsidP="005A3FB2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</w:rPr>
      </w:pPr>
      <w:r>
        <w:rPr>
          <w:rFonts w:ascii="Verdana" w:hAnsi="Verdana"/>
          <w:lang w:eastAsia="en-US"/>
        </w:rPr>
        <w:t>W opisie projektu wnętrz architektury znajduje się informacja, że tabliczki piktogramów i opisów należy wykonać z aluminium. Prosimy o informację jakiej grubości ma być blacha aluminiowa?</w:t>
      </w:r>
      <w:r>
        <w:rPr>
          <w:rFonts w:ascii="Verdana" w:hAnsi="Verdana"/>
        </w:rPr>
        <w:t xml:space="preserve"> </w:t>
      </w:r>
    </w:p>
    <w:p w:rsidR="005A3FB2" w:rsidRDefault="005A3FB2" w:rsidP="005A3FB2">
      <w:pPr>
        <w:spacing w:after="160" w:line="252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  <w:lang w:eastAsia="en-US"/>
        </w:rPr>
        <w:t xml:space="preserve">Odp.: W opisie jest błędnie sformułowany zapis. Należy wykonać (wycenić) zgodnie z  załączonymi rysunkami Napisy i piktogramy, które znajdują się na rysunku AW – 36_koretka mają być wykonane z folii , lub z płyt.  (zgodnie z opisem na rysunku). Jedynie tabliczki przy drzwiowe  należy wykonać z aluminium. Projektuje się 28 szt., tabliczek do montażu na III piętrze – zgodnie z załączonym w powyższych odpowiedziach  rysunkiem AW-36b </w:t>
      </w:r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  <w:b/>
          <w:lang w:eastAsia="en-US"/>
        </w:rPr>
      </w:pPr>
      <w:r>
        <w:rPr>
          <w:rFonts w:ascii="Verdana" w:hAnsi="Verdana"/>
          <w:lang w:eastAsia="en-US"/>
        </w:rPr>
        <w:t>Prosimy o informację, czy wymagana gwarancja na okres 120 miesięcy (10 lat) dotyczy elewacji wentylowanej z płyt włókno-cementowych.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>Odp.: Zamawiający potwierdza  iż okres gwarancji całej elewacji budynku również z płyt włókno-cementowych  wynosi 120 miesięcy (10 lat)</w:t>
      </w:r>
    </w:p>
    <w:p w:rsidR="005A3FB2" w:rsidRDefault="005A3FB2" w:rsidP="005A3FB2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</w:rPr>
      </w:pPr>
      <w:r>
        <w:rPr>
          <w:rFonts w:ascii="Verdana" w:hAnsi="Verdana"/>
          <w:lang w:eastAsia="en-US"/>
        </w:rPr>
        <w:t xml:space="preserve">Prosimy o informację, czy wymagana gwarancja na okres 120 miesięcy (10 lat) dotyczy również ściany zielonej. I czy w okres gwarancji ściany zielonej wchodzi również jej pielęgnacja w tym </w:t>
      </w:r>
      <w:r>
        <w:rPr>
          <w:rFonts w:ascii="Verdana" w:hAnsi="Verdana"/>
          <w:lang w:eastAsia="en-US"/>
        </w:rPr>
        <w:lastRenderedPageBreak/>
        <w:t>samym okresie? Jeśli tak, to po czyjej jest stronie, Zamawiającego czy Wykonawcy?</w:t>
      </w:r>
    </w:p>
    <w:p w:rsidR="00B603B2" w:rsidRPr="007F173E" w:rsidRDefault="005A3FB2" w:rsidP="00B603B2">
      <w:pPr>
        <w:ind w:left="357"/>
        <w:jc w:val="both"/>
        <w:rPr>
          <w:rFonts w:ascii="Verdana" w:hAnsi="Verdana"/>
        </w:rPr>
      </w:pPr>
      <w:r w:rsidRPr="007F173E">
        <w:rPr>
          <w:rFonts w:ascii="Verdana" w:hAnsi="Verdana"/>
          <w:b/>
          <w:lang w:eastAsia="en-US"/>
        </w:rPr>
        <w:t xml:space="preserve">Odp.: </w:t>
      </w:r>
      <w:r w:rsidR="00B603B2" w:rsidRPr="007F173E">
        <w:rPr>
          <w:rFonts w:ascii="Verdana" w:hAnsi="Verdana"/>
          <w:b/>
          <w:lang w:eastAsia="en-US"/>
        </w:rPr>
        <w:t>Termin gwarancji na ścianę zieloną jest objęty gwarancja podstawową na roboty objęte zakresem zamówienia.</w:t>
      </w:r>
    </w:p>
    <w:p w:rsidR="00B603B2" w:rsidRPr="007F173E" w:rsidRDefault="005A3FB2" w:rsidP="00B603B2">
      <w:pPr>
        <w:ind w:left="357"/>
        <w:jc w:val="both"/>
        <w:rPr>
          <w:rFonts w:ascii="Verdana" w:hAnsi="Verdana"/>
          <w:b/>
          <w:lang w:eastAsia="en-US"/>
        </w:rPr>
      </w:pPr>
      <w:r w:rsidRPr="007F173E">
        <w:rPr>
          <w:rFonts w:ascii="Verdana" w:hAnsi="Verdana"/>
          <w:b/>
          <w:lang w:eastAsia="en-US"/>
        </w:rPr>
        <w:t>Pielęgnacja ściany zielonej w okresie gwarancji po odbiorze końcowym inwestycji jest po stronie Zamawiającego, okres gwarancji ściany zielonej</w:t>
      </w:r>
      <w:r w:rsidR="00B603B2" w:rsidRPr="007F173E">
        <w:rPr>
          <w:rFonts w:ascii="Verdana" w:hAnsi="Verdana"/>
          <w:b/>
          <w:lang w:eastAsia="en-US"/>
        </w:rPr>
        <w:t>.</w:t>
      </w:r>
      <w:r w:rsidRPr="007F173E">
        <w:rPr>
          <w:rFonts w:ascii="Verdana" w:hAnsi="Verdana"/>
          <w:b/>
          <w:lang w:eastAsia="en-US"/>
        </w:rPr>
        <w:t xml:space="preserve"> </w:t>
      </w:r>
    </w:p>
    <w:p w:rsidR="00B603B2" w:rsidRDefault="00B603B2" w:rsidP="00B603B2">
      <w:pPr>
        <w:ind w:left="357"/>
        <w:jc w:val="both"/>
        <w:rPr>
          <w:rFonts w:ascii="Verdana" w:hAnsi="Verdana"/>
          <w:b/>
          <w:color w:val="FF0000"/>
          <w:lang w:eastAsia="en-US"/>
        </w:rPr>
      </w:pPr>
    </w:p>
    <w:p w:rsidR="005A3FB2" w:rsidRDefault="005A3FB2" w:rsidP="00B603B2">
      <w:pPr>
        <w:numPr>
          <w:ilvl w:val="0"/>
          <w:numId w:val="1"/>
        </w:numPr>
        <w:spacing w:after="160" w:line="252" w:lineRule="auto"/>
        <w:rPr>
          <w:rFonts w:ascii="Verdana" w:hAnsi="Verdana"/>
          <w:b/>
          <w:lang w:eastAsia="en-US"/>
        </w:rPr>
      </w:pPr>
      <w:r>
        <w:rPr>
          <w:rFonts w:ascii="Verdana" w:hAnsi="Verdana"/>
          <w:lang w:eastAsia="en-US"/>
        </w:rPr>
        <w:t>Rozdział 15 SIWZ  UBEZPIECZENIE OC, prosimy o wyjaśnienie, czy Zamawiający przyjmie polisę OC, posiadaną przez Wykonawcę, która spełnia warunki określone w SIWZ, zawieraną w cyklach 12 miesięcznych?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>Odp.: Tak</w:t>
      </w:r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  <w:b/>
          <w:lang w:eastAsia="en-US"/>
        </w:rPr>
      </w:pPr>
      <w:r>
        <w:rPr>
          <w:rFonts w:ascii="Verdana" w:hAnsi="Verdana"/>
          <w:lang w:eastAsia="en-US"/>
        </w:rPr>
        <w:t xml:space="preserve">§6 ust. 4 Wzoru Umowy wnioskujemy o wydłużenie terminu płatności na rzecz Podwykonawców do 21 dni, co spowoduje obniżenie kosztów finansowania inwestycji, co bezpośrednio wpłynie na cenę ofertową, którą finalnie poniesie Zamawiający. 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>Odp.: Zamawiający nie wyraża zgody na zmianę zapisów w powyższym zakresie.</w:t>
      </w:r>
    </w:p>
    <w:p w:rsidR="005A3FB2" w:rsidRPr="005A3FB2" w:rsidRDefault="005A3FB2" w:rsidP="00FF011D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  <w:lang w:eastAsia="en-US"/>
        </w:rPr>
      </w:pPr>
      <w:r w:rsidRPr="005A3FB2">
        <w:rPr>
          <w:rFonts w:ascii="Verdana" w:hAnsi="Verdana"/>
          <w:lang w:eastAsia="en-US"/>
        </w:rPr>
        <w:t>Zamawiający w umowie wskazał, że cesja wierzytelności na podmiot trzeci, jest zakazana. Wykonawca zwraca uwagę, że  Zgoda Zamawiającego na cesję na rzecz banku wykonawcy, pozwoli na obniżenie kosztów finansowania inwestycji.    W związku z powyższym, wykonawca zwraca się z prośbą o potwierdzenie, że Zamawiający wyrazi zgodę na cesję wierzytelności na bank, z którym współpracuje wykonawca, w sytuacji gdy z umowy cesji wynikać będzie, że Zamawiający jest uprawniony do dokonywania potrącenia z wierzytelności wykonawcy (stanowiącej przedmiot cesji) wierzytelności przysługujących mu względem wykonawcy, w tym w szczególności do dokonania potrącenia uzasadnionych roszczeń Podwykonawców w zakresie wynikającym z łączącej Zamawiającego i wykonawcę umowy. Powyższe sytuacja jest powtórzeniem uprawnień Zamawiającego, jakie przysługują mu na wypadek cesji wierzytelności, wynikających z art. 513 kodeksu cywilnego.</w:t>
      </w:r>
      <w:r w:rsidRPr="005A3FB2">
        <w:rPr>
          <w:rFonts w:ascii="Verdana" w:hAnsi="Verdana"/>
        </w:rPr>
        <w:t xml:space="preserve"> </w:t>
      </w:r>
      <w:r w:rsidRPr="005A3FB2">
        <w:rPr>
          <w:rFonts w:ascii="Verdana" w:hAnsi="Verdana"/>
        </w:rPr>
        <w:br/>
      </w:r>
      <w:r w:rsidRPr="005A3FB2">
        <w:rPr>
          <w:rFonts w:ascii="Verdana" w:hAnsi="Verdana"/>
          <w:b/>
          <w:lang w:eastAsia="en-US"/>
        </w:rPr>
        <w:t>Odp.:</w:t>
      </w:r>
      <w:r w:rsidRPr="005A3FB2">
        <w:rPr>
          <w:rFonts w:ascii="Verdana" w:hAnsi="Verdana"/>
          <w:b/>
          <w:color w:val="FF0000"/>
          <w:lang w:eastAsia="en-US"/>
        </w:rPr>
        <w:t xml:space="preserve"> </w:t>
      </w:r>
      <w:r w:rsidRPr="005A3FB2">
        <w:rPr>
          <w:rFonts w:ascii="Verdana" w:hAnsi="Verdana"/>
          <w:b/>
          <w:lang w:eastAsia="en-US"/>
        </w:rPr>
        <w:t>Zamawiający nie wyraża zgody na zmianę zapisów w powyższym zakresie.</w:t>
      </w:r>
    </w:p>
    <w:p w:rsidR="008E015B" w:rsidRPr="005A3FB2" w:rsidRDefault="005A3FB2" w:rsidP="008E015B">
      <w:pPr>
        <w:spacing w:after="160" w:line="252" w:lineRule="auto"/>
        <w:ind w:left="360"/>
        <w:jc w:val="both"/>
        <w:rPr>
          <w:rFonts w:ascii="Verdana" w:hAnsi="Verdana"/>
          <w:b/>
          <w:lang w:eastAsia="en-US"/>
        </w:rPr>
      </w:pPr>
      <w:r w:rsidRPr="008E015B">
        <w:rPr>
          <w:rFonts w:ascii="Verdana" w:hAnsi="Verdana"/>
          <w:lang w:eastAsia="en-US"/>
        </w:rPr>
        <w:t xml:space="preserve">Rozdział 15 SIWZ  UBEZPIECZENIE CAR prosimy  o potwierdzenie, że wymagając przedłużenia ważności polisy o dodatkowe 3 miesiące ma wynikać z Klauzula automatycznego przedłużenia okresu ochrony. Polisa CAR może jedynie obowiązywać w terminie od przekazania placu budowy/ podpisania umowy do terminu  wykonywania prac/ odbioru końcowego. Okres ubezpieczenia oraz czas realizacji robót budowlanych/montażowych wynikająca z podpisanej umowy kontraktowej. Także z istoty polisy CAR nie wynika możliwość </w:t>
      </w:r>
      <w:r w:rsidRPr="008E015B">
        <w:rPr>
          <w:rFonts w:ascii="Verdana" w:hAnsi="Verdana"/>
          <w:lang w:eastAsia="en-US"/>
        </w:rPr>
        <w:lastRenderedPageBreak/>
        <w:t xml:space="preserve">obowiązywania jej przez dłuższy okres niż wymaga to zapis umowy, odpowiedzialność za plac budowy ubezpieczyciela kończy się z chwilą odbioru końcowego. W związku z powyższym nie ma możliwości przedłużenia okresu obowiązywania polisy o wykreślenie warunku wydłużenia ochrony. </w:t>
      </w:r>
      <w:r w:rsidRPr="008E015B">
        <w:rPr>
          <w:rFonts w:ascii="Verdana" w:hAnsi="Verdana"/>
          <w:lang w:eastAsia="en-US"/>
        </w:rPr>
        <w:br/>
      </w:r>
      <w:r w:rsidR="008E015B" w:rsidRPr="005A3FB2">
        <w:rPr>
          <w:rFonts w:ascii="Verdana" w:hAnsi="Verdana"/>
          <w:b/>
          <w:lang w:eastAsia="en-US"/>
        </w:rPr>
        <w:t>Odp.: Zamawiający dokonał zmian odpowiedzią zamieszczona w dniu 29.07.2020 odpowiedzią na zapytania nr 22.</w:t>
      </w:r>
    </w:p>
    <w:p w:rsidR="005A3FB2" w:rsidRPr="008E015B" w:rsidRDefault="005A3FB2" w:rsidP="00A77ECA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  <w:b/>
          <w:lang w:eastAsia="en-US"/>
        </w:rPr>
      </w:pPr>
      <w:r w:rsidRPr="008E015B">
        <w:rPr>
          <w:rFonts w:ascii="Verdana" w:hAnsi="Verdana"/>
          <w:lang w:eastAsia="en-US"/>
        </w:rPr>
        <w:t>§7 ust. 8 prosimy o potwierdzenie, że każdą fakturę częściową Zamawiający rozliczy do 100%, a sumarycznie rozliczenie częściowe nie może przekroczyć 90% wartości kontraktu brutto.</w:t>
      </w:r>
    </w:p>
    <w:p w:rsidR="008E015B" w:rsidRDefault="005A3FB2" w:rsidP="008E015B">
      <w:pPr>
        <w:spacing w:after="160" w:line="252" w:lineRule="auto"/>
        <w:ind w:left="360"/>
        <w:jc w:val="both"/>
        <w:rPr>
          <w:rFonts w:ascii="Verdana" w:hAnsi="Verdana"/>
          <w:b/>
          <w:lang w:eastAsia="en-US"/>
        </w:rPr>
      </w:pPr>
      <w:r w:rsidRPr="005A3FB2">
        <w:rPr>
          <w:rFonts w:ascii="Verdana" w:hAnsi="Verdana"/>
          <w:b/>
          <w:lang w:eastAsia="en-US"/>
        </w:rPr>
        <w:t xml:space="preserve">Odp.: </w:t>
      </w:r>
      <w:r w:rsidR="008E015B">
        <w:rPr>
          <w:rFonts w:ascii="Verdana" w:hAnsi="Verdana"/>
          <w:b/>
          <w:lang w:eastAsia="en-US"/>
        </w:rPr>
        <w:t>Tak</w:t>
      </w:r>
    </w:p>
    <w:p w:rsidR="005A3FB2" w:rsidRPr="007F173E" w:rsidRDefault="005A3FB2" w:rsidP="007F173E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  <w:b/>
          <w:lang w:eastAsia="en-US"/>
        </w:rPr>
      </w:pPr>
      <w:r>
        <w:rPr>
          <w:rFonts w:ascii="Verdana" w:hAnsi="Verdana"/>
          <w:lang w:eastAsia="en-US"/>
        </w:rPr>
        <w:t xml:space="preserve">Ponieważ zamawiający określa warunki wniesienia należytego wykonania Umowy w paragrafie 11 Wzoru Umowy, prosimy o wyjaśnienie w jakim celu wymaga wniesienia dodatkowego </w:t>
      </w:r>
      <w:r w:rsidRPr="007F173E">
        <w:rPr>
          <w:rFonts w:ascii="Verdana" w:hAnsi="Verdana"/>
          <w:lang w:eastAsia="en-US"/>
        </w:rPr>
        <w:t>zabezpieczenia wykonania robót w formie kaucji pieniężnej potrącanej z faktur par. 7 ust. 8 Wzoru Umowy?</w:t>
      </w:r>
      <w:r w:rsidRPr="007F173E">
        <w:rPr>
          <w:rFonts w:ascii="Verdana" w:hAnsi="Verdana"/>
        </w:rPr>
        <w:t xml:space="preserve"> </w:t>
      </w:r>
      <w:r w:rsidRPr="007F173E">
        <w:rPr>
          <w:rFonts w:ascii="Verdana" w:hAnsi="Verdana"/>
        </w:rPr>
        <w:br/>
      </w:r>
      <w:r w:rsidRPr="007F173E">
        <w:rPr>
          <w:rFonts w:ascii="Verdana" w:hAnsi="Verdana"/>
          <w:b/>
          <w:lang w:eastAsia="en-US"/>
        </w:rPr>
        <w:t xml:space="preserve">Odp.: </w:t>
      </w:r>
      <w:r w:rsidR="007F173E" w:rsidRPr="007F173E">
        <w:rPr>
          <w:rFonts w:ascii="Verdana" w:hAnsi="Verdana"/>
          <w:b/>
          <w:bCs/>
          <w:lang w:eastAsia="en-US"/>
        </w:rPr>
        <w:t>Zamawiający nie wymaga wniesienia dodatkowej kaucji pieniężnej potrącanej z faktur. Płatności dokonywane są w wysokości 100% wartości przedłożonej faktury po spełnieniu warunków zapłaty określonych w umowie.</w:t>
      </w:r>
      <w:r w:rsidR="007F173E" w:rsidRPr="007F173E">
        <w:rPr>
          <w:rFonts w:ascii="Verdana" w:hAnsi="Verdana"/>
          <w:b/>
          <w:lang w:eastAsia="en-US"/>
        </w:rPr>
        <w:t>   </w:t>
      </w:r>
      <w:proofErr w:type="spellStart"/>
      <w:r w:rsidR="007F173E" w:rsidRPr="007F173E">
        <w:rPr>
          <w:rFonts w:ascii="Verdana" w:hAnsi="Verdana"/>
          <w:b/>
          <w:lang w:eastAsia="en-US"/>
        </w:rPr>
        <w:t>Minumum</w:t>
      </w:r>
      <w:proofErr w:type="spellEnd"/>
      <w:r w:rsidR="007F173E" w:rsidRPr="007F173E">
        <w:rPr>
          <w:rFonts w:ascii="Verdana" w:hAnsi="Verdana"/>
          <w:b/>
          <w:lang w:eastAsia="en-US"/>
        </w:rPr>
        <w:t xml:space="preserve"> 10 % wartości wykonywanych w ramach kontraktu robót zostaje rozliczona w ramach faktury końcowej po dokonaniu odbioru końcowego.</w:t>
      </w:r>
      <w:bookmarkStart w:id="1" w:name="_GoBack"/>
      <w:bookmarkEnd w:id="1"/>
    </w:p>
    <w:p w:rsidR="005A3FB2" w:rsidRDefault="005A3FB2" w:rsidP="005A3FB2">
      <w:pPr>
        <w:numPr>
          <w:ilvl w:val="0"/>
          <w:numId w:val="1"/>
        </w:numPr>
        <w:spacing w:after="160" w:line="252" w:lineRule="auto"/>
        <w:rPr>
          <w:rFonts w:ascii="Verdana" w:hAnsi="Verdana"/>
        </w:rPr>
      </w:pPr>
      <w:r>
        <w:rPr>
          <w:rFonts w:ascii="Verdana" w:hAnsi="Verdana"/>
          <w:lang w:eastAsia="en-US"/>
        </w:rPr>
        <w:t>Prosimy o potwierdzenie, że zgodnie z przesłanym przez Państwa rysunkiem z dnia 15.07.2020r. „Nawierzchnie_do_rozbiórki_PZT-07” do rozbiórki są tylko i wyłącznie nawierzchnie z: kostki brukowej, betonu, płyt ażurowych oraz tłucznia.</w:t>
      </w:r>
      <w:r>
        <w:rPr>
          <w:rFonts w:ascii="Verdana" w:hAnsi="Verdana"/>
          <w:lang w:eastAsia="en-US"/>
        </w:rPr>
        <w:br/>
      </w:r>
      <w:r>
        <w:rPr>
          <w:rFonts w:ascii="Verdana" w:hAnsi="Verdana"/>
          <w:b/>
          <w:lang w:eastAsia="en-US"/>
        </w:rPr>
        <w:t>Odp.: Tak, poza pokazanymi na rysunku nawierzchniami, na terenie inwestycji znajdują się obecnie tereny zielone. Ponadto w ramach przygotowania do robót drogowych należy zasypać istniejącą studnię.</w:t>
      </w:r>
    </w:p>
    <w:p w:rsidR="005A3FB2" w:rsidRDefault="005A3FB2" w:rsidP="005A3FB2">
      <w:pPr>
        <w:jc w:val="both"/>
        <w:rPr>
          <w:rFonts w:ascii="Verdana" w:hAnsi="Verdana"/>
        </w:rPr>
      </w:pPr>
      <w:r>
        <w:rPr>
          <w:rFonts w:ascii="Verdana" w:hAnsi="Verdana" w:cs="Calibri"/>
          <w:b/>
          <w:lang w:eastAsia="en-US"/>
        </w:rPr>
        <w:tab/>
        <w:t>Zasypanie studni:</w:t>
      </w:r>
    </w:p>
    <w:p w:rsidR="005A3FB2" w:rsidRDefault="005A3FB2" w:rsidP="005A3FB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  <w:lang w:eastAsia="en-US"/>
        </w:rPr>
        <w:t>- DNO STUDNI WYPEŁNIĆ PIACHEM DO OK, 0,5M</w:t>
      </w:r>
    </w:p>
    <w:p w:rsidR="005A3FB2" w:rsidRDefault="005A3FB2" w:rsidP="005A3FB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  <w:lang w:eastAsia="en-US"/>
        </w:rPr>
        <w:t>- OTWÓR STUDZIENNY ZLIKWIDOWAĆ POPRZEZ ZAIŁOWANIE I DOKŁADNE UBIJANIE WARSTW DO WYSOKOŚCI ZAOBSERWOWANEGO POZIOMU WODY</w:t>
      </w:r>
    </w:p>
    <w:p w:rsidR="005A3FB2" w:rsidRDefault="005A3FB2" w:rsidP="005A3FB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  <w:lang w:eastAsia="en-US"/>
        </w:rPr>
        <w:t>- POWYŻEJ WYKONAĆ WARSTWĘ CHUDEGO BETONU OK 20 CM</w:t>
      </w:r>
    </w:p>
    <w:p w:rsidR="005A3FB2" w:rsidRDefault="005A3FB2" w:rsidP="005A3FB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  <w:lang w:eastAsia="en-US"/>
        </w:rPr>
        <w:t>- POZOSTAŁĄ CZĘŚĆ WYPEŁNIĆ NIE ZANIECZYSZCZONĄ ZIEMIĄ</w:t>
      </w:r>
    </w:p>
    <w:p w:rsidR="005A3FB2" w:rsidRDefault="005A3FB2" w:rsidP="005A3FB2">
      <w:pPr>
        <w:pStyle w:val="Akapitzlist"/>
        <w:spacing w:after="160" w:line="25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  <w:lang w:eastAsia="en-US"/>
        </w:rPr>
        <w:t>- ZABRONIONE JEST WYPEŁNIANIE OTWORU ODPADAMI, GRUZEM, ZANIECZYSZCZONĄ ZIEMIĄ</w:t>
      </w:r>
    </w:p>
    <w:p w:rsidR="005A3FB2" w:rsidRDefault="005A3FB2" w:rsidP="005A3FB2">
      <w:pPr>
        <w:jc w:val="both"/>
        <w:rPr>
          <w:rFonts w:ascii="Verdana" w:hAnsi="Verdana"/>
          <w:sz w:val="16"/>
          <w:szCs w:val="16"/>
          <w:u w:val="single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D7" w:rsidRDefault="005626D7">
      <w:r>
        <w:separator/>
      </w:r>
    </w:p>
  </w:endnote>
  <w:endnote w:type="continuationSeparator" w:id="0">
    <w:p w:rsidR="005626D7" w:rsidRDefault="0056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D7" w:rsidRDefault="005626D7">
      <w:r>
        <w:separator/>
      </w:r>
    </w:p>
  </w:footnote>
  <w:footnote w:type="continuationSeparator" w:id="0">
    <w:p w:rsidR="005626D7" w:rsidRDefault="0056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7F173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7F173E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36"/>
    <w:multiLevelType w:val="multilevel"/>
    <w:tmpl w:val="AD8412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6D7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626D7"/>
    <w:rsid w:val="005A3FB2"/>
    <w:rsid w:val="005A7BE4"/>
    <w:rsid w:val="0061472E"/>
    <w:rsid w:val="00721200"/>
    <w:rsid w:val="00775A72"/>
    <w:rsid w:val="007B12A7"/>
    <w:rsid w:val="007F173E"/>
    <w:rsid w:val="00825F26"/>
    <w:rsid w:val="0083033C"/>
    <w:rsid w:val="008E015B"/>
    <w:rsid w:val="00943AEF"/>
    <w:rsid w:val="009B3CE0"/>
    <w:rsid w:val="009C6B40"/>
    <w:rsid w:val="009F4EC1"/>
    <w:rsid w:val="00A17896"/>
    <w:rsid w:val="00A27DDB"/>
    <w:rsid w:val="00A45032"/>
    <w:rsid w:val="00B603B2"/>
    <w:rsid w:val="00BA48E1"/>
    <w:rsid w:val="00C529DB"/>
    <w:rsid w:val="00C914F4"/>
    <w:rsid w:val="00CA338E"/>
    <w:rsid w:val="00CB1285"/>
    <w:rsid w:val="00D108D9"/>
    <w:rsid w:val="00D74780"/>
    <w:rsid w:val="00D90657"/>
    <w:rsid w:val="00DB37E8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CC917E9"/>
  <w15:chartTrackingRefBased/>
  <w15:docId w15:val="{BD20121C-3CC3-4DEF-A5CF-4E3818AD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5A3FB2"/>
    <w:rPr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A3FB2"/>
    <w:pPr>
      <w:ind w:left="720"/>
      <w:contextualSpacing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AW36a_LOGO_AGH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ublic/mendyk/HS/AW-36_korekta.pdf" TargetMode="External"/><Relationship Id="rId12" Type="http://schemas.openxmlformats.org/officeDocument/2006/relationships/hyperlink" Target="http://di.adm.agh.edu.pl/przetargi/di/zj/nhs/uzupelnione-w-trakcie-przetargu/AW36b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.adm.agh.edu.pl/public/mendyk/HS/AW36a_LOGO_AGH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i.adm.agh.edu.pl/public/mendyk/HS/AW-36_korekt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rzetargi/di/zj/nhs/uzupelnione-w-trakcie-przetargu/AW36b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1089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2020-07-31T07:30:00Z</cp:lastPrinted>
  <dcterms:created xsi:type="dcterms:W3CDTF">2020-07-31T07:44:00Z</dcterms:created>
  <dcterms:modified xsi:type="dcterms:W3CDTF">2020-07-31T07:44:00Z</dcterms:modified>
</cp:coreProperties>
</file>