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44A7" w:rsidRPr="00315D72" w:rsidRDefault="009144A7" w:rsidP="009144A7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F14311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F14311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F14311">
        <w:rPr>
          <w:rFonts w:ascii="Verdana" w:hAnsi="Verdana"/>
          <w:sz w:val="16"/>
          <w:szCs w:val="16"/>
        </w:rPr>
        <w:t>2020-07-</w:t>
      </w:r>
      <w:r>
        <w:rPr>
          <w:rFonts w:ascii="Verdana" w:hAnsi="Verdana"/>
          <w:sz w:val="16"/>
          <w:szCs w:val="16"/>
        </w:rPr>
        <w:t>23</w:t>
      </w:r>
    </w:p>
    <w:p w:rsidR="009144A7" w:rsidRPr="00315D72" w:rsidRDefault="009144A7" w:rsidP="009144A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9144A7" w:rsidRPr="00315D72" w:rsidRDefault="009144A7" w:rsidP="009144A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9144A7" w:rsidRPr="00315D72" w:rsidRDefault="009144A7" w:rsidP="009144A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9144A7" w:rsidRPr="00315D72" w:rsidRDefault="009144A7" w:rsidP="009144A7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(13)</w:t>
      </w:r>
    </w:p>
    <w:p w:rsidR="009144A7" w:rsidRPr="00315D72" w:rsidRDefault="009144A7" w:rsidP="009144A7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9144A7" w:rsidRPr="00A17896" w:rsidRDefault="009144A7" w:rsidP="009144A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</w:t>
      </w:r>
      <w:r w:rsidRPr="0083033C">
        <w:rPr>
          <w:rFonts w:ascii="Verdana" w:hAnsi="Verdana"/>
          <w:sz w:val="20"/>
        </w:rPr>
        <w:t>(</w:t>
      </w:r>
      <w:r>
        <w:rPr>
          <w:rFonts w:ascii="Verdana" w:hAnsi="Verdana"/>
          <w:sz w:val="20"/>
        </w:rPr>
        <w:t>Dz. U. z  2019</w:t>
      </w:r>
      <w:r w:rsidRPr="00775A72">
        <w:rPr>
          <w:rFonts w:ascii="Verdana" w:hAnsi="Verdana"/>
          <w:sz w:val="20"/>
        </w:rPr>
        <w:t xml:space="preserve"> r. poz. </w:t>
      </w:r>
      <w:r>
        <w:rPr>
          <w:rFonts w:ascii="Verdana" w:hAnsi="Verdana"/>
          <w:sz w:val="20"/>
        </w:rPr>
        <w:t>1843 ze zm.</w:t>
      </w:r>
      <w:r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Pr="00F14311">
        <w:rPr>
          <w:rFonts w:ascii="Verdana" w:hAnsi="Verdana"/>
          <w:b/>
          <w:sz w:val="20"/>
        </w:rPr>
        <w:t>przetarg nieograniczony</w:t>
      </w:r>
      <w:r w:rsidRPr="00071560">
        <w:rPr>
          <w:rFonts w:ascii="Verdana" w:hAnsi="Verdana"/>
          <w:b/>
          <w:sz w:val="20"/>
        </w:rPr>
        <w:t>”</w:t>
      </w:r>
      <w:r w:rsidRPr="00071560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którego przedmiotem jest </w:t>
      </w:r>
      <w:r w:rsidRPr="00F14311">
        <w:rPr>
          <w:rFonts w:ascii="Verdana" w:hAnsi="Verdana"/>
          <w:b/>
          <w:sz w:val="20"/>
        </w:rPr>
        <w:t xml:space="preserve">Budowa wielofunkcyjnej Hali Sportowej AGH w Krakowie. </w:t>
      </w:r>
      <w:r>
        <w:rPr>
          <w:rFonts w:ascii="Verdana" w:hAnsi="Verdana"/>
          <w:b/>
          <w:sz w:val="20"/>
        </w:rPr>
        <w:br/>
      </w:r>
      <w:r w:rsidRPr="00F14311">
        <w:rPr>
          <w:rFonts w:ascii="Verdana" w:hAnsi="Verdana"/>
          <w:b/>
          <w:sz w:val="20"/>
        </w:rPr>
        <w:t>KC-zp.272-255/20</w:t>
      </w:r>
      <w:r w:rsidRPr="00A17896">
        <w:rPr>
          <w:rFonts w:ascii="Verdana" w:hAnsi="Verdana"/>
          <w:b/>
          <w:sz w:val="20"/>
        </w:rPr>
        <w:t>.</w:t>
      </w:r>
    </w:p>
    <w:p w:rsidR="009144A7" w:rsidRPr="00315D72" w:rsidRDefault="009144A7" w:rsidP="009144A7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9144A7" w:rsidRDefault="009144A7" w:rsidP="009144A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>
        <w:rPr>
          <w:rFonts w:ascii="Verdana" w:hAnsi="Verdana"/>
          <w:b/>
          <w:sz w:val="20"/>
          <w:u w:val="single"/>
        </w:rPr>
        <w:t xml:space="preserve">ń i odpowiedzi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:rsidR="009144A7" w:rsidRDefault="009144A7" w:rsidP="009144A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 xml:space="preserve">Prosimy o informację, w jakim kolorze i rozmiarze ma zostać wykonany sufit podwieszany w </w:t>
      </w:r>
      <w:proofErr w:type="spellStart"/>
      <w:r>
        <w:rPr>
          <w:rFonts w:ascii="Verdana" w:hAnsi="Verdana"/>
          <w:lang w:eastAsia="en-US"/>
        </w:rPr>
        <w:t>foyer</w:t>
      </w:r>
      <w:proofErr w:type="spellEnd"/>
      <w:r>
        <w:rPr>
          <w:rFonts w:ascii="Verdana" w:hAnsi="Verdana"/>
          <w:lang w:eastAsia="en-US"/>
        </w:rPr>
        <w:t xml:space="preserve"> na I piętrze (pom. 1.06) przy wejściu do toalet. Oznaczenie na rys. AW-07 jest niejednoznaczne. Z rysunku wynika, że ma być to sufit z wełny mineralnej 120x60 w kolorze grafitowym lub czarnym, jednak nie ma takiego oznaczenia w legendzie.</w:t>
      </w:r>
    </w:p>
    <w:p w:rsidR="009144A7" w:rsidRDefault="009144A7" w:rsidP="009144A7">
      <w:pPr>
        <w:spacing w:line="276" w:lineRule="auto"/>
        <w:ind w:left="349"/>
        <w:jc w:val="both"/>
      </w:pPr>
      <w:r>
        <w:rPr>
          <w:rFonts w:ascii="Verdana" w:hAnsi="Verdana" w:cs="Calibri"/>
          <w:b/>
        </w:rPr>
        <w:t>Odp.: Tak, sufit podwieszany przy wejściu do toalet ma być wykonany z płyt 120x60 w kolorze grafitowym.</w:t>
      </w:r>
    </w:p>
    <w:p w:rsidR="009144A7" w:rsidRDefault="009144A7" w:rsidP="009144A7">
      <w:pPr>
        <w:spacing w:line="276" w:lineRule="auto"/>
        <w:jc w:val="both"/>
        <w:rPr>
          <w:rFonts w:ascii="Verdana" w:hAnsi="Verdana" w:cs="Calibri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>Prosimy o informację, jaki kolor ma sufit G-K w pom. 1.07 oraz części 1.06. Oznaczenie na rys. AW-07 jest niejednoznaczne.</w:t>
      </w:r>
    </w:p>
    <w:p w:rsidR="009144A7" w:rsidRDefault="009144A7" w:rsidP="009144A7">
      <w:pPr>
        <w:pStyle w:val="Akapitzlist"/>
        <w:spacing w:line="276" w:lineRule="auto"/>
        <w:ind w:left="360"/>
        <w:jc w:val="both"/>
      </w:pPr>
      <w:r>
        <w:rPr>
          <w:rFonts w:ascii="Verdana" w:hAnsi="Verdana" w:cs="Calibri"/>
          <w:b/>
          <w:sz w:val="20"/>
          <w:szCs w:val="20"/>
        </w:rPr>
        <w:t>Odp.: Sufit w kolorze zbliżonym do RAL 9004 – zgodnie z legendą.</w:t>
      </w:r>
    </w:p>
    <w:p w:rsidR="009144A7" w:rsidRDefault="009144A7" w:rsidP="009144A7">
      <w:p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>Prosimy o informację, jaki kolor ma sufit G-K w części pom. 1.13. Oznaczenie na rys. AW-07 jest niejednoznaczne.</w:t>
      </w:r>
    </w:p>
    <w:p w:rsidR="009144A7" w:rsidRPr="00742D9B" w:rsidRDefault="009144A7" w:rsidP="009144A7">
      <w:p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  <w:r w:rsidRPr="00742D9B">
        <w:rPr>
          <w:rFonts w:ascii="Verdana" w:hAnsi="Verdana" w:cs="Calibri"/>
          <w:b/>
        </w:rPr>
        <w:t>Odp.:  Wnęki w suficie w kolorze zbliżonym do RAL 9004 – zgodnie z legendą.</w:t>
      </w:r>
    </w:p>
    <w:p w:rsidR="009144A7" w:rsidRDefault="009144A7" w:rsidP="009144A7">
      <w:pPr>
        <w:spacing w:line="276" w:lineRule="auto"/>
        <w:jc w:val="both"/>
        <w:rPr>
          <w:rFonts w:ascii="Verdana" w:hAnsi="Verdana" w:cs="Calibri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contextualSpacing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lastRenderedPageBreak/>
        <w:t>Prosimy o informację, jaki kolor ma sufit G-K w części pom. 1.37. Oznaczenie na rys. AW-07 jest niejednoznaczne.</w:t>
      </w:r>
      <w:r>
        <w:rPr>
          <w:rFonts w:ascii="Verdana" w:hAnsi="Verdana" w:cs="Calibri"/>
          <w:b/>
        </w:rPr>
        <w:t xml:space="preserve"> </w:t>
      </w:r>
    </w:p>
    <w:p w:rsidR="009144A7" w:rsidRDefault="009144A7" w:rsidP="009144A7">
      <w:pPr>
        <w:spacing w:line="276" w:lineRule="auto"/>
        <w:ind w:left="360"/>
        <w:contextualSpacing/>
        <w:jc w:val="both"/>
      </w:pPr>
      <w:r>
        <w:rPr>
          <w:rFonts w:ascii="Verdana" w:hAnsi="Verdana"/>
          <w:b/>
          <w:lang w:eastAsia="en-US"/>
        </w:rPr>
        <w:t xml:space="preserve">Odp.: </w:t>
      </w:r>
      <w:r>
        <w:rPr>
          <w:rFonts w:ascii="Verdana" w:hAnsi="Verdana" w:cs="Calibri"/>
          <w:b/>
          <w:lang w:eastAsia="en-US"/>
        </w:rPr>
        <w:t xml:space="preserve">Wnęki w suficie w kolorze </w:t>
      </w:r>
      <w:r>
        <w:rPr>
          <w:rFonts w:ascii="Verdana" w:hAnsi="Verdana" w:cs="Calibri"/>
          <w:b/>
        </w:rPr>
        <w:t>zbliżonym do</w:t>
      </w:r>
      <w:r>
        <w:rPr>
          <w:rFonts w:ascii="Verdana" w:hAnsi="Verdana" w:cs="Calibri"/>
          <w:b/>
          <w:lang w:eastAsia="en-US"/>
        </w:rPr>
        <w:t xml:space="preserve"> RAL 9004 – zgodnie z legendą.</w:t>
      </w:r>
    </w:p>
    <w:p w:rsidR="009144A7" w:rsidRDefault="009144A7" w:rsidP="009144A7">
      <w:p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contextualSpacing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>Prosimy o informację, jaki kolor ma sufit G-K w części pom. 1.36. Oznaczenie na rys. AW-07 jest niejednoznaczne.</w:t>
      </w:r>
      <w:r>
        <w:rPr>
          <w:rFonts w:ascii="Verdana" w:hAnsi="Verdana" w:cs="Calibri"/>
          <w:b/>
        </w:rPr>
        <w:t xml:space="preserve"> </w:t>
      </w:r>
    </w:p>
    <w:p w:rsidR="009144A7" w:rsidRDefault="009144A7" w:rsidP="009144A7">
      <w:pPr>
        <w:spacing w:line="276" w:lineRule="auto"/>
        <w:ind w:left="360"/>
        <w:contextualSpacing/>
        <w:jc w:val="both"/>
      </w:pPr>
      <w:r>
        <w:rPr>
          <w:rFonts w:ascii="Verdana" w:hAnsi="Verdana"/>
          <w:b/>
          <w:lang w:eastAsia="en-US"/>
        </w:rPr>
        <w:t xml:space="preserve">Odp.: </w:t>
      </w:r>
      <w:r>
        <w:rPr>
          <w:rFonts w:ascii="Verdana" w:hAnsi="Verdana" w:cs="Calibri"/>
          <w:b/>
          <w:lang w:eastAsia="en-US"/>
        </w:rPr>
        <w:t>Sufit G-K w kolorze</w:t>
      </w:r>
      <w:r w:rsidRPr="001A6CC9">
        <w:rPr>
          <w:rFonts w:ascii="Verdana" w:hAnsi="Verdana" w:cs="Calibri"/>
          <w:b/>
        </w:rPr>
        <w:t xml:space="preserve"> </w:t>
      </w:r>
      <w:r>
        <w:rPr>
          <w:rFonts w:ascii="Verdana" w:hAnsi="Verdana" w:cs="Calibri"/>
          <w:b/>
        </w:rPr>
        <w:t>zbliżonym do</w:t>
      </w:r>
      <w:r>
        <w:rPr>
          <w:rFonts w:ascii="Verdana" w:hAnsi="Verdana" w:cs="Calibri"/>
          <w:b/>
          <w:lang w:eastAsia="en-US"/>
        </w:rPr>
        <w:t xml:space="preserve"> RAL 7016 – zgodnie z legendą.</w:t>
      </w:r>
    </w:p>
    <w:p w:rsidR="009144A7" w:rsidRDefault="009144A7" w:rsidP="009144A7">
      <w:p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contextualSpacing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 xml:space="preserve">Prosimy o informację, jakie wykończenie posadzek, sufitów i ścian należy uwzględnić w ofercie na kortach do </w:t>
      </w:r>
      <w:proofErr w:type="spellStart"/>
      <w:r>
        <w:rPr>
          <w:rFonts w:ascii="Verdana" w:hAnsi="Verdana"/>
          <w:lang w:eastAsia="en-US"/>
        </w:rPr>
        <w:t>squasha</w:t>
      </w:r>
      <w:proofErr w:type="spellEnd"/>
      <w:r>
        <w:rPr>
          <w:rFonts w:ascii="Verdana" w:hAnsi="Verdana"/>
          <w:lang w:eastAsia="en-US"/>
        </w:rPr>
        <w:t>?</w:t>
      </w:r>
      <w:r>
        <w:rPr>
          <w:rFonts w:ascii="Verdana" w:hAnsi="Verdana" w:cs="Calibri"/>
          <w:b/>
        </w:rPr>
        <w:t xml:space="preserve"> </w:t>
      </w:r>
    </w:p>
    <w:p w:rsidR="009144A7" w:rsidRDefault="009144A7" w:rsidP="009144A7">
      <w:pPr>
        <w:spacing w:line="276" w:lineRule="auto"/>
        <w:ind w:left="360"/>
        <w:contextualSpacing/>
        <w:jc w:val="both"/>
      </w:pPr>
      <w:r w:rsidRPr="001A6CC9">
        <w:rPr>
          <w:rFonts w:ascii="Verdana" w:hAnsi="Verdana"/>
          <w:b/>
          <w:lang w:eastAsia="en-US"/>
        </w:rPr>
        <w:t>Odp.: Kort</w:t>
      </w:r>
      <w:r>
        <w:rPr>
          <w:rFonts w:ascii="Verdana" w:hAnsi="Verdana"/>
          <w:b/>
          <w:lang w:eastAsia="en-US"/>
        </w:rPr>
        <w:t>y</w:t>
      </w:r>
      <w:r w:rsidRPr="001A6CC9">
        <w:rPr>
          <w:rFonts w:ascii="Verdana" w:hAnsi="Verdana"/>
          <w:b/>
          <w:lang w:eastAsia="en-US"/>
        </w:rPr>
        <w:t xml:space="preserve"> do </w:t>
      </w:r>
      <w:proofErr w:type="spellStart"/>
      <w:r w:rsidRPr="001A6CC9">
        <w:rPr>
          <w:rFonts w:ascii="Verdana" w:hAnsi="Verdana"/>
          <w:b/>
          <w:lang w:eastAsia="en-US"/>
        </w:rPr>
        <w:t>squasha</w:t>
      </w:r>
      <w:proofErr w:type="spellEnd"/>
      <w:r w:rsidRPr="001A6CC9">
        <w:rPr>
          <w:rFonts w:ascii="Verdana" w:hAnsi="Verdana"/>
          <w:b/>
          <w:lang w:eastAsia="en-US"/>
        </w:rPr>
        <w:t xml:space="preserve"> nie </w:t>
      </w:r>
      <w:r>
        <w:rPr>
          <w:rFonts w:ascii="Verdana" w:hAnsi="Verdana"/>
          <w:b/>
          <w:lang w:eastAsia="en-US"/>
        </w:rPr>
        <w:t>są</w:t>
      </w:r>
      <w:r w:rsidRPr="001A6CC9">
        <w:rPr>
          <w:rFonts w:ascii="Verdana" w:hAnsi="Verdana"/>
          <w:b/>
          <w:lang w:eastAsia="en-US"/>
        </w:rPr>
        <w:t xml:space="preserve"> obję</w:t>
      </w:r>
      <w:r>
        <w:rPr>
          <w:rFonts w:ascii="Verdana" w:hAnsi="Verdana"/>
          <w:b/>
          <w:lang w:eastAsia="en-US"/>
        </w:rPr>
        <w:t>te przetargiem</w:t>
      </w:r>
      <w:r w:rsidRPr="001A6CC9">
        <w:rPr>
          <w:rFonts w:ascii="Verdana" w:hAnsi="Verdana"/>
          <w:b/>
          <w:lang w:eastAsia="en-US"/>
        </w:rPr>
        <w:t xml:space="preserve">. </w:t>
      </w:r>
      <w:r>
        <w:rPr>
          <w:rFonts w:ascii="Verdana" w:hAnsi="Verdana"/>
          <w:b/>
          <w:lang w:eastAsia="en-US"/>
        </w:rPr>
        <w:t>Nie</w:t>
      </w:r>
      <w:r w:rsidRPr="001A6CC9">
        <w:rPr>
          <w:rFonts w:ascii="Verdana" w:hAnsi="Verdana"/>
          <w:b/>
          <w:lang w:eastAsia="en-US"/>
        </w:rPr>
        <w:t xml:space="preserve"> należy wyceniać ścian frontowych, bocznych i tylnych oraz podłogi sportowej w pomieszczeniach 2.03, 2.04, 2.05, 2.06</w:t>
      </w:r>
    </w:p>
    <w:p w:rsidR="009144A7" w:rsidRDefault="009144A7" w:rsidP="009144A7">
      <w:p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>Prosimy o potwierdzenie, że zgodnie z rys. AW-08 w pomieszczeniach: 2.01, 2.02a, 2.34, 2.20, 2.13a, 2.13 nie należy wykonywać sufitu podwieszanego.</w:t>
      </w:r>
    </w:p>
    <w:p w:rsidR="009144A7" w:rsidRDefault="009144A7" w:rsidP="009144A7">
      <w:pPr>
        <w:spacing w:line="276" w:lineRule="auto"/>
        <w:ind w:left="349"/>
        <w:jc w:val="both"/>
      </w:pPr>
      <w:r>
        <w:rPr>
          <w:rFonts w:ascii="Verdana" w:hAnsi="Verdana" w:cs="Calibri"/>
          <w:b/>
        </w:rPr>
        <w:t xml:space="preserve">Odp.: </w:t>
      </w:r>
      <w:r>
        <w:rPr>
          <w:rFonts w:ascii="Verdana" w:hAnsi="Verdana" w:cs="Calibri"/>
          <w:b/>
          <w:lang w:eastAsia="en-US"/>
        </w:rPr>
        <w:t xml:space="preserve"> w pomieszczeniach: 2.01, 2.02a,  2.20, 2.13a, 2.13 nie należy wykonywać sufitu podwieszanego. W pom. 2.34, należy wykonać sufit – należy uwzględnić sufit analogiczny jak w pom. 2.22,2.23.</w:t>
      </w:r>
    </w:p>
    <w:p w:rsidR="009144A7" w:rsidRDefault="009144A7" w:rsidP="009144A7">
      <w:p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contextualSpacing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 xml:space="preserve">Czy należy uwzględniać tynkowanie oraz malowanie stropów </w:t>
      </w:r>
      <w:r w:rsidRPr="001A6CC9">
        <w:rPr>
          <w:rFonts w:ascii="Verdana" w:hAnsi="Verdana"/>
          <w:lang w:eastAsia="en-US"/>
        </w:rPr>
        <w:t>pod</w:t>
      </w:r>
      <w:r>
        <w:rPr>
          <w:rFonts w:ascii="Verdana" w:hAnsi="Verdana"/>
          <w:lang w:eastAsia="en-US"/>
        </w:rPr>
        <w:t xml:space="preserve"> sufitami rastrowymi? Jeśli tak, prosimy o podanie sposobu wykończenia.</w:t>
      </w:r>
      <w:r>
        <w:rPr>
          <w:rFonts w:ascii="Verdana" w:hAnsi="Verdana" w:cs="Calibri"/>
          <w:b/>
        </w:rPr>
        <w:t xml:space="preserve"> </w:t>
      </w:r>
    </w:p>
    <w:p w:rsidR="009144A7" w:rsidRPr="004C0C12" w:rsidRDefault="009144A7" w:rsidP="009144A7">
      <w:pPr>
        <w:spacing w:line="276" w:lineRule="auto"/>
        <w:ind w:left="360"/>
        <w:contextualSpacing/>
        <w:jc w:val="both"/>
      </w:pPr>
      <w:r w:rsidRPr="004C0C12">
        <w:rPr>
          <w:rFonts w:ascii="Verdana" w:hAnsi="Verdana"/>
          <w:b/>
          <w:lang w:eastAsia="en-US"/>
        </w:rPr>
        <w:t>Odp.: Nie, stropy nad sufitami rastrowymi nie mają być tynkowane ani malowane.</w:t>
      </w:r>
    </w:p>
    <w:p w:rsidR="009144A7" w:rsidRDefault="009144A7" w:rsidP="009144A7">
      <w:p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>Prosimy o potwierdzenie, że w pomieszczeniach technicznych w poziomie piwnicy nie występują sufity podwieszane oraz tynkowane.</w:t>
      </w:r>
    </w:p>
    <w:p w:rsidR="009144A7" w:rsidRDefault="009144A7" w:rsidP="009144A7">
      <w:pPr>
        <w:spacing w:line="276" w:lineRule="auto"/>
        <w:ind w:left="349"/>
        <w:jc w:val="both"/>
      </w:pPr>
      <w:r>
        <w:rPr>
          <w:rFonts w:ascii="Verdana" w:hAnsi="Verdana" w:cs="Calibri"/>
          <w:b/>
        </w:rPr>
        <w:t xml:space="preserve">Odp.: W piwnicy nie ma sufitów podwieszanych, zgodnie z opisem wszystkie pomieszczenia techniczne mają być tynkowane i malowane (ściany i sufity). </w:t>
      </w:r>
    </w:p>
    <w:p w:rsidR="009144A7" w:rsidRDefault="009144A7" w:rsidP="009144A7">
      <w:pPr>
        <w:spacing w:line="276" w:lineRule="auto"/>
        <w:jc w:val="both"/>
        <w:rPr>
          <w:rFonts w:ascii="Verdana" w:hAnsi="Verdana" w:cs="Calibri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contextualSpacing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>Prosimy o podanie produktu referencyjnego spełniającego parametry techniczne sufitu dźwiękochłonnego z wełny drzewnej o wymiarach 180x60 zastosowanego w Sali A.</w:t>
      </w:r>
      <w:r>
        <w:rPr>
          <w:rFonts w:ascii="Verdana" w:hAnsi="Verdana" w:cs="Calibri"/>
          <w:b/>
        </w:rPr>
        <w:t xml:space="preserve"> </w:t>
      </w:r>
    </w:p>
    <w:p w:rsidR="009144A7" w:rsidRDefault="009144A7" w:rsidP="009144A7">
      <w:pPr>
        <w:spacing w:line="276" w:lineRule="auto"/>
        <w:ind w:left="360"/>
        <w:contextualSpacing/>
        <w:jc w:val="both"/>
      </w:pPr>
      <w:r>
        <w:rPr>
          <w:rFonts w:ascii="Verdana" w:hAnsi="Verdana"/>
          <w:b/>
          <w:lang w:eastAsia="en-US"/>
        </w:rPr>
        <w:t xml:space="preserve">Odp.: Zamawiający nie podaje produktów referencyjnych. Należy spełnić </w:t>
      </w:r>
      <w:r w:rsidRPr="001A6CC9">
        <w:rPr>
          <w:rFonts w:ascii="Verdana" w:hAnsi="Verdana"/>
          <w:b/>
          <w:lang w:eastAsia="en-US"/>
        </w:rPr>
        <w:t>parametry techniczne</w:t>
      </w:r>
      <w:r>
        <w:rPr>
          <w:rFonts w:ascii="Verdana" w:hAnsi="Verdana"/>
          <w:b/>
          <w:lang w:eastAsia="en-US"/>
        </w:rPr>
        <w:t xml:space="preserve"> sufitu zawarte w opisie wnętrz.</w:t>
      </w:r>
    </w:p>
    <w:p w:rsidR="009144A7" w:rsidRDefault="009144A7" w:rsidP="009144A7">
      <w:p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lastRenderedPageBreak/>
        <w:t>Prosimy o podanie produktu referencyjnego spełniającego parametry techniczne sufitu podwieszanego z wełny mineralnej o wymiarach 180x60 w kolorze czarnym zastosowanego w Sali B.</w:t>
      </w:r>
    </w:p>
    <w:p w:rsidR="009144A7" w:rsidRPr="001A6CC9" w:rsidRDefault="009144A7" w:rsidP="009144A7">
      <w:pPr>
        <w:spacing w:line="276" w:lineRule="auto"/>
        <w:ind w:left="360"/>
        <w:contextualSpacing/>
        <w:jc w:val="both"/>
        <w:rPr>
          <w:rFonts w:ascii="Verdana" w:hAnsi="Verdana"/>
          <w:lang w:eastAsia="en-US"/>
        </w:rPr>
      </w:pPr>
      <w:r w:rsidRPr="001A6CC9">
        <w:rPr>
          <w:rFonts w:ascii="Verdana" w:hAnsi="Verdana"/>
          <w:b/>
          <w:lang w:eastAsia="en-US"/>
        </w:rPr>
        <w:t>Odp.: Zamawiający nie podaje produktów referencyjnych. Należy spełnić parametry techniczne sufitu zawarte w opisie wnętrz.</w:t>
      </w:r>
    </w:p>
    <w:p w:rsidR="009144A7" w:rsidRDefault="009144A7" w:rsidP="009144A7">
      <w:pPr>
        <w:spacing w:line="276" w:lineRule="auto"/>
        <w:jc w:val="both"/>
        <w:rPr>
          <w:rFonts w:ascii="Verdana" w:hAnsi="Verdana" w:cs="Calibri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>Prosimy o informację, czy gwarancja dachu na okres 10 lat obejmuje również konstrukcję dachu z drewna klejonego?</w:t>
      </w:r>
      <w:r>
        <w:rPr>
          <w:rFonts w:ascii="Verdana" w:hAnsi="Verdana" w:cs="Calibri"/>
          <w:b/>
        </w:rPr>
        <w:t xml:space="preserve"> </w:t>
      </w:r>
    </w:p>
    <w:p w:rsidR="009144A7" w:rsidRDefault="009144A7" w:rsidP="009144A7">
      <w:p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  <w:r w:rsidRPr="00446F1A">
        <w:rPr>
          <w:rFonts w:ascii="Verdana" w:hAnsi="Verdana"/>
          <w:b/>
          <w:lang w:eastAsia="en-US"/>
        </w:rPr>
        <w:t>Odp.: Tak.</w:t>
      </w:r>
    </w:p>
    <w:p w:rsidR="009144A7" w:rsidRDefault="009144A7" w:rsidP="009144A7">
      <w:pPr>
        <w:spacing w:line="276" w:lineRule="auto"/>
        <w:ind w:left="360"/>
        <w:jc w:val="both"/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>Tablica wyników sportowych profesjonalna (T1) powinna mieść wymiary 500x240 cm zgodnie z rys. „AW-10”, natomiast zgodnie z opisem technicznym architektury wnętrz jej wymiary powinny wynosić 312 x 207 cm. Prosimy o weryfikację.</w:t>
      </w:r>
      <w:r>
        <w:rPr>
          <w:rFonts w:ascii="Verdana" w:hAnsi="Verdana" w:cs="Calibri"/>
          <w:b/>
        </w:rPr>
        <w:t xml:space="preserve"> </w:t>
      </w:r>
    </w:p>
    <w:p w:rsidR="009144A7" w:rsidRDefault="009144A7" w:rsidP="009144A7">
      <w:p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b/>
          <w:lang w:eastAsia="en-US"/>
        </w:rPr>
        <w:t>Odp.: Należy przyjąć tablicę o minimalnych wymiarach zgodnych z opisem technicznym. Na rys A-10 podano błędny wymiar.</w:t>
      </w:r>
    </w:p>
    <w:p w:rsidR="009144A7" w:rsidRDefault="009144A7" w:rsidP="009144A7">
      <w:pPr>
        <w:spacing w:line="276" w:lineRule="auto"/>
        <w:ind w:left="360"/>
        <w:jc w:val="both"/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jc w:val="both"/>
      </w:pPr>
      <w:r>
        <w:rPr>
          <w:rFonts w:ascii="Verdana" w:hAnsi="Verdana"/>
          <w:lang w:eastAsia="en-US"/>
        </w:rPr>
        <w:t xml:space="preserve">Tablice wyników sportowych profesjonalne w ilości 2 </w:t>
      </w:r>
      <w:proofErr w:type="spellStart"/>
      <w:r>
        <w:rPr>
          <w:rFonts w:ascii="Verdana" w:hAnsi="Verdana"/>
          <w:lang w:eastAsia="en-US"/>
        </w:rPr>
        <w:t>kpl</w:t>
      </w:r>
      <w:proofErr w:type="spellEnd"/>
      <w:r>
        <w:rPr>
          <w:rFonts w:ascii="Verdana" w:hAnsi="Verdana"/>
          <w:lang w:eastAsia="en-US"/>
        </w:rPr>
        <w:t xml:space="preserve"> (T1), zgodnie z opisem technicznym architektury wnętrz w sumie powinny być wyposażone w 8 zegarów do pomiaru 24 sekund. Jednak każda tablica wyników obsługuje tylko i wyłącznie dwa zegary 24 sekundowe, co w sumie daje 4 </w:t>
      </w:r>
      <w:proofErr w:type="spellStart"/>
      <w:r>
        <w:rPr>
          <w:rFonts w:ascii="Verdana" w:hAnsi="Verdana"/>
          <w:lang w:eastAsia="en-US"/>
        </w:rPr>
        <w:t>szt</w:t>
      </w:r>
      <w:proofErr w:type="spellEnd"/>
      <w:r>
        <w:rPr>
          <w:rFonts w:ascii="Verdana" w:hAnsi="Verdana"/>
          <w:lang w:eastAsia="en-US"/>
        </w:rPr>
        <w:t xml:space="preserve"> takich zegarów. Prosimy o weryfikację.</w:t>
      </w:r>
      <w:r>
        <w:rPr>
          <w:rFonts w:ascii="Verdana" w:hAnsi="Verdana" w:cs="Calibri"/>
          <w:b/>
        </w:rPr>
        <w:t xml:space="preserve"> </w:t>
      </w:r>
    </w:p>
    <w:p w:rsidR="009144A7" w:rsidRDefault="009144A7" w:rsidP="009144A7">
      <w:p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  <w:r w:rsidRPr="00446F1A">
        <w:rPr>
          <w:rFonts w:ascii="Verdana" w:hAnsi="Verdana"/>
          <w:b/>
          <w:lang w:eastAsia="en-US"/>
        </w:rPr>
        <w:t>Odp.: Ta</w:t>
      </w:r>
      <w:bookmarkStart w:id="0" w:name="_GoBack"/>
      <w:bookmarkEnd w:id="0"/>
      <w:r w:rsidRPr="00446F1A">
        <w:rPr>
          <w:rFonts w:ascii="Verdana" w:hAnsi="Verdana"/>
          <w:b/>
          <w:lang w:eastAsia="en-US"/>
        </w:rPr>
        <w:t>blic</w:t>
      </w:r>
      <w:r>
        <w:rPr>
          <w:rFonts w:ascii="Verdana" w:hAnsi="Verdana"/>
          <w:b/>
          <w:lang w:eastAsia="en-US"/>
        </w:rPr>
        <w:t>e</w:t>
      </w:r>
      <w:r w:rsidRPr="00446F1A">
        <w:rPr>
          <w:rFonts w:ascii="Verdana" w:hAnsi="Verdana"/>
          <w:b/>
          <w:lang w:eastAsia="en-US"/>
        </w:rPr>
        <w:t xml:space="preserve"> wyników sportowych profesjonaln</w:t>
      </w:r>
      <w:r>
        <w:rPr>
          <w:rFonts w:ascii="Verdana" w:hAnsi="Verdana"/>
          <w:b/>
          <w:lang w:eastAsia="en-US"/>
        </w:rPr>
        <w:t>ych</w:t>
      </w:r>
      <w:r w:rsidRPr="00446F1A">
        <w:rPr>
          <w:rFonts w:ascii="Verdana" w:hAnsi="Verdana"/>
          <w:b/>
          <w:lang w:eastAsia="en-US"/>
        </w:rPr>
        <w:t xml:space="preserve"> T1</w:t>
      </w:r>
      <w:r>
        <w:rPr>
          <w:rFonts w:ascii="Verdana" w:hAnsi="Verdana"/>
          <w:b/>
          <w:lang w:eastAsia="en-US"/>
        </w:rPr>
        <w:t xml:space="preserve"> (szt. 2)</w:t>
      </w:r>
      <w:r w:rsidRPr="00446F1A">
        <w:rPr>
          <w:rFonts w:ascii="Verdana" w:hAnsi="Verdana"/>
          <w:b/>
          <w:lang w:eastAsia="en-US"/>
        </w:rPr>
        <w:t xml:space="preserve"> zgodnie z opisem technicznym</w:t>
      </w:r>
      <w:r>
        <w:rPr>
          <w:rFonts w:ascii="Verdana" w:hAnsi="Verdana"/>
          <w:b/>
          <w:lang w:eastAsia="en-US"/>
        </w:rPr>
        <w:t xml:space="preserve"> winny spełniać parametry opisane w pkt. 13.5 projektu wnętrz od pkt 1 do 14. </w:t>
      </w:r>
    </w:p>
    <w:p w:rsidR="009144A7" w:rsidRPr="00EA3C4C" w:rsidRDefault="009144A7" w:rsidP="009144A7">
      <w:pPr>
        <w:autoSpaceDE w:val="0"/>
        <w:autoSpaceDN w:val="0"/>
        <w:adjustRightInd w:val="0"/>
        <w:spacing w:line="276" w:lineRule="auto"/>
        <w:ind w:left="349"/>
        <w:jc w:val="center"/>
        <w:rPr>
          <w:rFonts w:ascii="Verdana" w:eastAsia="ArialMT" w:hAnsi="Verdana" w:cs="ArialMT"/>
          <w:b/>
        </w:rPr>
      </w:pPr>
      <w:r w:rsidRPr="00EA3C4C">
        <w:rPr>
          <w:rFonts w:ascii="Verdana" w:eastAsia="ArialMT" w:hAnsi="Verdana" w:cs="ArialMT"/>
          <w:b/>
        </w:rPr>
        <w:t>Zdj. poglądowe tablicy T1:</w:t>
      </w:r>
    </w:p>
    <w:p w:rsidR="009144A7" w:rsidRDefault="009144A7" w:rsidP="009144A7">
      <w:pPr>
        <w:autoSpaceDE w:val="0"/>
        <w:autoSpaceDN w:val="0"/>
        <w:adjustRightInd w:val="0"/>
        <w:spacing w:line="276" w:lineRule="auto"/>
        <w:ind w:left="349"/>
        <w:jc w:val="center"/>
        <w:rPr>
          <w:rFonts w:ascii="Verdana" w:eastAsia="ArialMT" w:hAnsi="Verdana" w:cs="ArialMT"/>
        </w:rPr>
      </w:pPr>
      <w:r w:rsidRPr="009144A7">
        <w:rPr>
          <w:rFonts w:ascii="Verdana" w:eastAsia="ArialMT" w:hAnsi="Verdana" w:cs="ArialMT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9" type="#_x0000_t75" style="width:249.75pt;height:156.75pt;visibility:visible;mso-wrap-style:square">
            <v:imagedata r:id="rId7" o:title=""/>
          </v:shape>
        </w:pict>
      </w:r>
    </w:p>
    <w:p w:rsidR="009144A7" w:rsidRDefault="009144A7" w:rsidP="009144A7">
      <w:p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</w:p>
    <w:p w:rsidR="009144A7" w:rsidRPr="00446F1A" w:rsidRDefault="009144A7" w:rsidP="009144A7">
      <w:p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b/>
          <w:lang w:eastAsia="en-US"/>
        </w:rPr>
        <w:t xml:space="preserve">Natomiast „tablice do pomiary 24 sekund” są odrębnym elementami w ilości 8 szt. dla sali A i 8 szt. dla sali B (łącznie </w:t>
      </w:r>
      <w:r>
        <w:rPr>
          <w:rFonts w:ascii="Verdana" w:hAnsi="Verdana"/>
          <w:b/>
          <w:lang w:eastAsia="en-US"/>
        </w:rPr>
        <w:lastRenderedPageBreak/>
        <w:t>16 sztuk) i parametry są opisane w projekcie wnętrz pomiędzy opisem tablicy profesjonalnej a tablicą wyników pomocniczych na stronie 76.</w:t>
      </w:r>
    </w:p>
    <w:p w:rsidR="009144A7" w:rsidRPr="00991A83" w:rsidRDefault="009144A7" w:rsidP="009144A7">
      <w:pPr>
        <w:autoSpaceDE w:val="0"/>
        <w:autoSpaceDN w:val="0"/>
        <w:adjustRightInd w:val="0"/>
        <w:spacing w:line="276" w:lineRule="auto"/>
        <w:rPr>
          <w:rFonts w:ascii="Verdana" w:eastAsia="ArialMT" w:hAnsi="Verdana" w:cs="ArialMT"/>
          <w:b/>
          <w:color w:val="FF0000"/>
        </w:rPr>
      </w:pPr>
    </w:p>
    <w:p w:rsidR="009144A7" w:rsidRPr="00446F1A" w:rsidRDefault="009144A7" w:rsidP="009144A7">
      <w:pPr>
        <w:autoSpaceDE w:val="0"/>
        <w:autoSpaceDN w:val="0"/>
        <w:adjustRightInd w:val="0"/>
        <w:spacing w:line="276" w:lineRule="auto"/>
        <w:ind w:left="349"/>
        <w:rPr>
          <w:rFonts w:ascii="Verdana" w:eastAsia="ArialMT" w:hAnsi="Verdana" w:cs="ArialMT"/>
          <w:b/>
        </w:rPr>
      </w:pPr>
      <w:r>
        <w:rPr>
          <w:rFonts w:ascii="Verdana" w:hAnsi="Verdana"/>
          <w:b/>
          <w:lang w:eastAsia="en-US"/>
        </w:rPr>
        <w:t xml:space="preserve">„Tablice do pomiary 24 sekund” </w:t>
      </w:r>
      <w:r w:rsidRPr="00446F1A">
        <w:rPr>
          <w:rFonts w:ascii="Verdana" w:eastAsia="ArialMT" w:hAnsi="Verdana" w:cs="ArialMT"/>
          <w:b/>
        </w:rPr>
        <w:t>mają być umieszczone nad każdą tablicą do koszykówki tj. łącznie 16 szt.</w:t>
      </w:r>
    </w:p>
    <w:p w:rsidR="009144A7" w:rsidRPr="00446F1A" w:rsidRDefault="009144A7" w:rsidP="009144A7">
      <w:pPr>
        <w:autoSpaceDE w:val="0"/>
        <w:autoSpaceDN w:val="0"/>
        <w:adjustRightInd w:val="0"/>
        <w:spacing w:line="276" w:lineRule="auto"/>
        <w:ind w:left="349"/>
        <w:rPr>
          <w:rFonts w:ascii="Verdana" w:eastAsia="ArialMT" w:hAnsi="Verdana" w:cs="ArialMT"/>
          <w:b/>
        </w:rPr>
      </w:pPr>
    </w:p>
    <w:p w:rsidR="009144A7" w:rsidRPr="00446F1A" w:rsidRDefault="009144A7" w:rsidP="009144A7">
      <w:pPr>
        <w:autoSpaceDE w:val="0"/>
        <w:autoSpaceDN w:val="0"/>
        <w:adjustRightInd w:val="0"/>
        <w:spacing w:line="276" w:lineRule="auto"/>
        <w:ind w:left="349"/>
        <w:jc w:val="center"/>
        <w:rPr>
          <w:rFonts w:ascii="Verdana" w:eastAsia="ArialMT" w:hAnsi="Verdana" w:cs="ArialMT"/>
          <w:b/>
        </w:rPr>
      </w:pPr>
      <w:r w:rsidRPr="00446F1A">
        <w:rPr>
          <w:rFonts w:ascii="Verdana" w:eastAsia="ArialMT" w:hAnsi="Verdana" w:cs="ArialMT"/>
          <w:b/>
        </w:rPr>
        <w:t>Zdj</w:t>
      </w:r>
      <w:r>
        <w:rPr>
          <w:rFonts w:ascii="Verdana" w:eastAsia="ArialMT" w:hAnsi="Verdana" w:cs="ArialMT"/>
          <w:b/>
        </w:rPr>
        <w:t>.</w:t>
      </w:r>
      <w:r w:rsidRPr="00446F1A">
        <w:rPr>
          <w:rFonts w:ascii="Verdana" w:eastAsia="ArialMT" w:hAnsi="Verdana" w:cs="ArialMT"/>
          <w:b/>
        </w:rPr>
        <w:t xml:space="preserve"> poglądowe </w:t>
      </w:r>
      <w:r>
        <w:rPr>
          <w:rFonts w:ascii="Verdana" w:hAnsi="Verdana"/>
          <w:b/>
          <w:lang w:eastAsia="en-US"/>
        </w:rPr>
        <w:t>„Tablicy do pomiaru 24 sekund”</w:t>
      </w:r>
    </w:p>
    <w:p w:rsidR="009144A7" w:rsidRPr="00446F1A" w:rsidRDefault="009144A7" w:rsidP="009144A7">
      <w:pPr>
        <w:autoSpaceDE w:val="0"/>
        <w:autoSpaceDN w:val="0"/>
        <w:adjustRightInd w:val="0"/>
        <w:spacing w:line="276" w:lineRule="auto"/>
        <w:ind w:left="349"/>
        <w:jc w:val="center"/>
        <w:rPr>
          <w:rFonts w:ascii="Verdana" w:eastAsia="ArialMT" w:hAnsi="Verdana" w:cs="ArialMT"/>
        </w:rPr>
      </w:pPr>
      <w:r w:rsidRPr="009144A7">
        <w:rPr>
          <w:rFonts w:ascii="ArialMT" w:eastAsia="ArialMT" w:cs="ArialMT"/>
          <w:noProof/>
          <w:sz w:val="22"/>
          <w:szCs w:val="22"/>
        </w:rPr>
        <w:pict>
          <v:shape id="Obraz 4" o:spid="_x0000_i1028" type="#_x0000_t75" style="width:82.5pt;height:92.25pt;visibility:visible;mso-wrap-style:square">
            <v:imagedata r:id="rId8" o:title=""/>
          </v:shape>
        </w:pict>
      </w:r>
    </w:p>
    <w:p w:rsidR="009144A7" w:rsidRPr="000C5DDD" w:rsidRDefault="009144A7" w:rsidP="009144A7">
      <w:pPr>
        <w:autoSpaceDE w:val="0"/>
        <w:autoSpaceDN w:val="0"/>
        <w:adjustRightInd w:val="0"/>
        <w:spacing w:line="276" w:lineRule="auto"/>
        <w:ind w:left="349"/>
        <w:rPr>
          <w:rFonts w:ascii="Verdana" w:eastAsia="ArialMT" w:hAnsi="Verdana" w:cs="ArialMT"/>
        </w:rPr>
      </w:pPr>
    </w:p>
    <w:p w:rsidR="009144A7" w:rsidRDefault="009144A7" w:rsidP="009144A7">
      <w:pPr>
        <w:pStyle w:val="Akapitzlist"/>
        <w:numPr>
          <w:ilvl w:val="0"/>
          <w:numId w:val="1"/>
        </w:numPr>
        <w:suppressAutoHyphens w:val="0"/>
        <w:autoSpaceDN/>
        <w:spacing w:line="276" w:lineRule="auto"/>
        <w:ind w:left="360"/>
        <w:contextualSpacing/>
        <w:textAlignment w:val="auto"/>
        <w:rPr>
          <w:rFonts w:ascii="Verdana" w:hAnsi="Verdana"/>
          <w:sz w:val="20"/>
          <w:szCs w:val="20"/>
          <w:lang w:eastAsia="en-US"/>
        </w:rPr>
      </w:pPr>
      <w:r>
        <w:rPr>
          <w:rFonts w:ascii="Verdana" w:hAnsi="Verdana"/>
          <w:sz w:val="20"/>
          <w:szCs w:val="20"/>
          <w:lang w:eastAsia="en-US"/>
        </w:rPr>
        <w:t>Zgodnie z zapisami w SIWZ w wycenie inwestycji należy uwzględnić lustra z drążkiem do ćwiczeń. Prosimy o podanie wymaganych przez Zamawiającego parametrów lustra oraz drążka, brak takich informacji w dokumentacji.</w:t>
      </w:r>
      <w:r>
        <w:rPr>
          <w:rFonts w:ascii="Verdana" w:hAnsi="Verdana"/>
          <w:sz w:val="20"/>
          <w:szCs w:val="20"/>
        </w:rPr>
        <w:t xml:space="preserve"> </w:t>
      </w:r>
    </w:p>
    <w:p w:rsidR="009144A7" w:rsidRDefault="009144A7" w:rsidP="009144A7">
      <w:pPr>
        <w:pStyle w:val="Akapitzlist"/>
        <w:spacing w:line="276" w:lineRule="auto"/>
        <w:ind w:left="360"/>
      </w:pPr>
      <w:r>
        <w:rPr>
          <w:rFonts w:ascii="Verdana" w:hAnsi="Verdana"/>
          <w:b/>
          <w:sz w:val="20"/>
          <w:szCs w:val="20"/>
          <w:lang w:eastAsia="en-US"/>
        </w:rPr>
        <w:t>Odp.: Lustra  wymagane parametry:</w:t>
      </w:r>
    </w:p>
    <w:p w:rsidR="009144A7" w:rsidRDefault="009144A7" w:rsidP="009144A7">
      <w:pPr>
        <w:pStyle w:val="Akapitzlist"/>
        <w:spacing w:line="276" w:lineRule="auto"/>
        <w:ind w:left="360"/>
        <w:rPr>
          <w:rFonts w:ascii="Verdana" w:hAnsi="Verdana"/>
          <w:b/>
          <w:sz w:val="20"/>
          <w:szCs w:val="20"/>
          <w:lang w:eastAsia="en-US"/>
        </w:rPr>
      </w:pPr>
      <w:r>
        <w:rPr>
          <w:rFonts w:ascii="Verdana" w:hAnsi="Verdana"/>
          <w:b/>
          <w:bCs/>
          <w:color w:val="000000"/>
          <w:sz w:val="20"/>
          <w:szCs w:val="20"/>
          <w:lang w:eastAsia="en-US"/>
        </w:rPr>
        <w:t>- podklejone folią (zapobiega rozpryśnięciu w razie stłuczenia),</w:t>
      </w:r>
      <w:r>
        <w:rPr>
          <w:rFonts w:ascii="Verdana" w:hAnsi="Verdana"/>
          <w:b/>
          <w:bCs/>
          <w:sz w:val="20"/>
          <w:szCs w:val="20"/>
          <w:lang w:eastAsia="en-US"/>
        </w:rPr>
        <w:br/>
      </w:r>
      <w:r>
        <w:rPr>
          <w:rFonts w:ascii="Verdana" w:hAnsi="Verdana"/>
          <w:b/>
          <w:bCs/>
          <w:color w:val="000000"/>
          <w:sz w:val="20"/>
          <w:szCs w:val="20"/>
          <w:lang w:eastAsia="en-US"/>
        </w:rPr>
        <w:t>- otwory w lustrach na wsporniki,</w:t>
      </w:r>
      <w:r>
        <w:rPr>
          <w:rFonts w:ascii="Verdana" w:hAnsi="Verdana"/>
          <w:b/>
          <w:bCs/>
          <w:sz w:val="20"/>
          <w:szCs w:val="20"/>
          <w:lang w:eastAsia="en-US"/>
        </w:rPr>
        <w:br/>
      </w:r>
      <w:r>
        <w:rPr>
          <w:rFonts w:ascii="Verdana" w:hAnsi="Verdana"/>
          <w:b/>
          <w:bCs/>
          <w:color w:val="000000"/>
          <w:sz w:val="20"/>
          <w:szCs w:val="20"/>
          <w:lang w:eastAsia="en-US"/>
        </w:rPr>
        <w:t>- budowa modułowa</w:t>
      </w:r>
      <w:r w:rsidRPr="00EA3C4C">
        <w:rPr>
          <w:rFonts w:ascii="Verdana" w:hAnsi="Verdana"/>
          <w:b/>
          <w:bCs/>
          <w:sz w:val="20"/>
          <w:szCs w:val="20"/>
          <w:lang w:eastAsia="en-US"/>
        </w:rPr>
        <w:t>, (łatwa wymiana w razie stłuczenia)</w:t>
      </w:r>
      <w:r>
        <w:rPr>
          <w:rFonts w:ascii="Verdana" w:hAnsi="Verdana"/>
          <w:b/>
          <w:bCs/>
          <w:sz w:val="20"/>
          <w:szCs w:val="20"/>
          <w:lang w:eastAsia="en-US"/>
        </w:rPr>
        <w:br/>
      </w:r>
      <w:r>
        <w:rPr>
          <w:rFonts w:ascii="Verdana" w:hAnsi="Verdana"/>
          <w:b/>
          <w:bCs/>
          <w:color w:val="000000"/>
          <w:sz w:val="20"/>
          <w:szCs w:val="20"/>
          <w:lang w:eastAsia="en-US"/>
        </w:rPr>
        <w:t>- bardzo wąskie fugi między panelami,</w:t>
      </w:r>
      <w:r>
        <w:rPr>
          <w:rFonts w:ascii="Verdana" w:hAnsi="Verdana"/>
          <w:b/>
          <w:bCs/>
          <w:sz w:val="20"/>
          <w:szCs w:val="20"/>
          <w:lang w:eastAsia="en-US"/>
        </w:rPr>
        <w:br/>
      </w:r>
      <w:r>
        <w:rPr>
          <w:rFonts w:ascii="Verdana" w:hAnsi="Verdana"/>
          <w:b/>
          <w:bCs/>
          <w:color w:val="000000"/>
          <w:sz w:val="20"/>
          <w:szCs w:val="20"/>
          <w:lang w:eastAsia="en-US"/>
        </w:rPr>
        <w:t>- grubość szkła min. 4mm, polerowane brzegi</w:t>
      </w:r>
      <w:r>
        <w:rPr>
          <w:rFonts w:ascii="Verdana" w:hAnsi="Verdana"/>
          <w:b/>
          <w:bCs/>
          <w:sz w:val="20"/>
          <w:szCs w:val="20"/>
          <w:lang w:eastAsia="en-US"/>
        </w:rPr>
        <w:br/>
      </w:r>
    </w:p>
    <w:p w:rsidR="009144A7" w:rsidRDefault="009144A7" w:rsidP="009144A7">
      <w:pPr>
        <w:pStyle w:val="Akapitzlist"/>
        <w:spacing w:line="276" w:lineRule="auto"/>
        <w:ind w:left="360"/>
      </w:pPr>
      <w:r>
        <w:rPr>
          <w:rFonts w:ascii="Verdana" w:hAnsi="Verdana"/>
          <w:b/>
          <w:sz w:val="20"/>
          <w:szCs w:val="20"/>
          <w:lang w:eastAsia="en-US"/>
        </w:rPr>
        <w:t>Drążki, wymagane parametry:</w:t>
      </w:r>
    </w:p>
    <w:p w:rsidR="009144A7" w:rsidRDefault="009144A7" w:rsidP="009144A7">
      <w:pPr>
        <w:spacing w:line="276" w:lineRule="auto"/>
        <w:ind w:left="360"/>
        <w:jc w:val="both"/>
        <w:rPr>
          <w:rFonts w:ascii="Verdana" w:hAnsi="Verdana"/>
          <w:b/>
          <w:bCs/>
          <w:color w:val="000000"/>
          <w:lang w:eastAsia="en-US"/>
        </w:rPr>
      </w:pPr>
      <w:r>
        <w:rPr>
          <w:rFonts w:ascii="Verdana" w:hAnsi="Verdana"/>
          <w:b/>
          <w:bCs/>
          <w:color w:val="000000"/>
          <w:lang w:eastAsia="en-US"/>
        </w:rPr>
        <w:t>- drążek baletowy</w:t>
      </w:r>
      <w:r w:rsidRPr="00EA3C4C">
        <w:rPr>
          <w:rFonts w:ascii="Verdana" w:hAnsi="Verdana"/>
          <w:b/>
          <w:bCs/>
          <w:lang w:eastAsia="en-US"/>
        </w:rPr>
        <w:t xml:space="preserve"> podwójny,</w:t>
      </w:r>
      <w:r>
        <w:rPr>
          <w:rFonts w:ascii="Verdana" w:hAnsi="Verdana"/>
          <w:b/>
          <w:bCs/>
          <w:color w:val="000000"/>
          <w:lang w:eastAsia="en-US"/>
        </w:rPr>
        <w:t xml:space="preserve"> lakierowany</w:t>
      </w:r>
      <w:r w:rsidRPr="00EA3C4C">
        <w:rPr>
          <w:rFonts w:ascii="Verdana" w:hAnsi="Verdana"/>
          <w:b/>
          <w:bCs/>
          <w:lang w:eastAsia="en-US"/>
        </w:rPr>
        <w:t xml:space="preserve">, dębowy </w:t>
      </w:r>
      <w:r>
        <w:rPr>
          <w:rFonts w:ascii="Verdana" w:hAnsi="Verdana"/>
          <w:b/>
          <w:bCs/>
          <w:lang w:eastAsia="en-US"/>
        </w:rPr>
        <w:t>,</w:t>
      </w:r>
      <w:r>
        <w:rPr>
          <w:rFonts w:ascii="Verdana" w:hAnsi="Verdana"/>
          <w:b/>
          <w:bCs/>
          <w:color w:val="000000"/>
          <w:lang w:eastAsia="en-US"/>
        </w:rPr>
        <w:t xml:space="preserve">średnica ok. </w:t>
      </w:r>
      <w:r w:rsidRPr="00EA3C4C">
        <w:rPr>
          <w:rFonts w:ascii="Verdana" w:hAnsi="Verdana"/>
          <w:b/>
          <w:bCs/>
          <w:lang w:eastAsia="en-US"/>
        </w:rPr>
        <w:t xml:space="preserve">50 </w:t>
      </w:r>
      <w:r>
        <w:rPr>
          <w:rFonts w:ascii="Verdana" w:hAnsi="Verdana"/>
          <w:b/>
          <w:bCs/>
          <w:color w:val="000000"/>
          <w:lang w:eastAsia="en-US"/>
        </w:rPr>
        <w:t>mm;</w:t>
      </w:r>
    </w:p>
    <w:p w:rsidR="009144A7" w:rsidRPr="00EA3C4C" w:rsidRDefault="009144A7" w:rsidP="009144A7">
      <w:p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b/>
          <w:bCs/>
          <w:color w:val="000000"/>
          <w:lang w:eastAsia="en-US"/>
        </w:rPr>
        <w:t xml:space="preserve">- </w:t>
      </w:r>
      <w:r>
        <w:rPr>
          <w:rFonts w:ascii="Verdana" w:hAnsi="Verdana"/>
          <w:b/>
          <w:bCs/>
          <w:lang w:eastAsia="en-US"/>
        </w:rPr>
        <w:t>w</w:t>
      </w:r>
      <w:r w:rsidRPr="00EA3C4C">
        <w:rPr>
          <w:rFonts w:ascii="Verdana" w:hAnsi="Verdana"/>
          <w:b/>
          <w:bCs/>
          <w:lang w:eastAsia="en-US"/>
        </w:rPr>
        <w:t>sporniki wykonane ze stali nierdzewnej mocowane do podłogi i do ściany</w:t>
      </w:r>
    </w:p>
    <w:p w:rsidR="009144A7" w:rsidRPr="00560E12" w:rsidRDefault="009144A7" w:rsidP="009144A7">
      <w:pPr>
        <w:spacing w:line="276" w:lineRule="auto"/>
        <w:ind w:left="360"/>
        <w:jc w:val="both"/>
        <w:rPr>
          <w:rFonts w:ascii="Verdana" w:hAnsi="Verdana"/>
          <w:b/>
          <w:color w:val="00B050"/>
          <w:lang w:eastAsia="en-US"/>
        </w:rPr>
      </w:pPr>
      <w:r>
        <w:rPr>
          <w:rFonts w:ascii="Verdana" w:hAnsi="Verdana"/>
          <w:b/>
          <w:bCs/>
          <w:color w:val="000000"/>
          <w:lang w:eastAsia="en-US"/>
        </w:rPr>
        <w:t xml:space="preserve">- odległość od ściany do osi drążka </w:t>
      </w:r>
      <w:r w:rsidRPr="00EA3C4C">
        <w:rPr>
          <w:rFonts w:ascii="Verdana" w:hAnsi="Verdana"/>
          <w:b/>
          <w:bCs/>
          <w:lang w:eastAsia="en-US"/>
        </w:rPr>
        <w:t xml:space="preserve">31 cm </w:t>
      </w:r>
    </w:p>
    <w:p w:rsidR="009144A7" w:rsidRPr="00EA3C4C" w:rsidRDefault="009144A7" w:rsidP="009144A7">
      <w:pPr>
        <w:spacing w:line="276" w:lineRule="auto"/>
        <w:ind w:left="360"/>
        <w:jc w:val="both"/>
        <w:rPr>
          <w:rFonts w:ascii="Verdana" w:hAnsi="Verdana"/>
          <w:b/>
          <w:bCs/>
          <w:lang w:eastAsia="en-US"/>
        </w:rPr>
      </w:pPr>
      <w:r w:rsidRPr="00EA3C4C">
        <w:rPr>
          <w:rFonts w:ascii="Verdana" w:hAnsi="Verdana"/>
          <w:b/>
          <w:bCs/>
          <w:lang w:eastAsia="en-US"/>
        </w:rPr>
        <w:t>- górna wysokość oparcia drążka – 110 cm</w:t>
      </w:r>
    </w:p>
    <w:p w:rsidR="009144A7" w:rsidRPr="00EA3C4C" w:rsidRDefault="009144A7" w:rsidP="009144A7">
      <w:pPr>
        <w:spacing w:line="276" w:lineRule="auto"/>
        <w:ind w:left="360"/>
        <w:jc w:val="both"/>
        <w:rPr>
          <w:rFonts w:ascii="Verdana" w:hAnsi="Verdana"/>
          <w:b/>
          <w:bCs/>
          <w:lang w:eastAsia="en-US"/>
        </w:rPr>
      </w:pPr>
      <w:r w:rsidRPr="00EA3C4C">
        <w:rPr>
          <w:rFonts w:ascii="Verdana" w:hAnsi="Verdana"/>
          <w:b/>
          <w:bCs/>
          <w:lang w:eastAsia="en-US"/>
        </w:rPr>
        <w:t>- dolna wysokość oparcia drążka – 90 cm</w:t>
      </w:r>
    </w:p>
    <w:p w:rsidR="009144A7" w:rsidRPr="00EA3C4C" w:rsidRDefault="009144A7" w:rsidP="009144A7">
      <w:pPr>
        <w:spacing w:line="276" w:lineRule="auto"/>
        <w:ind w:left="360"/>
        <w:jc w:val="both"/>
        <w:rPr>
          <w:rFonts w:ascii="Verdana" w:hAnsi="Verdana"/>
          <w:b/>
          <w:bCs/>
          <w:lang w:eastAsia="en-US"/>
        </w:rPr>
      </w:pPr>
      <w:r w:rsidRPr="00EA3C4C">
        <w:rPr>
          <w:rFonts w:ascii="Verdana" w:hAnsi="Verdana"/>
          <w:b/>
          <w:bCs/>
          <w:lang w:eastAsia="en-US"/>
        </w:rPr>
        <w:t>- odległość pomiędzy poręczami – 20 cm</w:t>
      </w:r>
    </w:p>
    <w:p w:rsidR="009144A7" w:rsidRPr="00EA3C4C" w:rsidRDefault="009144A7" w:rsidP="009144A7">
      <w:pPr>
        <w:spacing w:line="276" w:lineRule="auto"/>
        <w:ind w:left="360"/>
        <w:jc w:val="both"/>
        <w:rPr>
          <w:rFonts w:ascii="Verdana" w:hAnsi="Verdana"/>
          <w:b/>
          <w:bCs/>
          <w:lang w:eastAsia="en-US"/>
        </w:rPr>
      </w:pPr>
      <w:r w:rsidRPr="00EA3C4C">
        <w:rPr>
          <w:rFonts w:ascii="Verdana" w:hAnsi="Verdana"/>
          <w:b/>
          <w:bCs/>
          <w:lang w:eastAsia="en-US"/>
        </w:rPr>
        <w:t>- drążki montowane na całej długości lustra</w:t>
      </w:r>
    </w:p>
    <w:p w:rsidR="009144A7" w:rsidRDefault="009144A7" w:rsidP="009144A7">
      <w:pPr>
        <w:spacing w:line="276" w:lineRule="auto"/>
        <w:ind w:left="360"/>
        <w:jc w:val="both"/>
      </w:pPr>
    </w:p>
    <w:p w:rsidR="009144A7" w:rsidRPr="00EA3C4C" w:rsidRDefault="009144A7" w:rsidP="009144A7">
      <w:pPr>
        <w:spacing w:line="276" w:lineRule="auto"/>
        <w:ind w:left="360"/>
        <w:jc w:val="center"/>
        <w:rPr>
          <w:rFonts w:ascii="Verdana" w:hAnsi="Verdana"/>
          <w:b/>
        </w:rPr>
      </w:pPr>
      <w:r w:rsidRPr="00EA3C4C">
        <w:rPr>
          <w:rFonts w:ascii="Verdana" w:hAnsi="Verdana"/>
          <w:b/>
        </w:rPr>
        <w:t>Zdj. poglądowe</w:t>
      </w:r>
    </w:p>
    <w:p w:rsidR="009144A7" w:rsidRDefault="009144A7" w:rsidP="009144A7">
      <w:pPr>
        <w:spacing w:line="276" w:lineRule="auto"/>
        <w:ind w:left="360"/>
        <w:jc w:val="center"/>
        <w:rPr>
          <w:rFonts w:ascii="Verdana" w:hAnsi="Verdana"/>
          <w:b/>
          <w:lang w:eastAsia="en-US"/>
        </w:rPr>
      </w:pPr>
      <w:r w:rsidRPr="004D6B40">
        <w:rPr>
          <w:noProof/>
        </w:rPr>
        <w:lastRenderedPageBreak/>
        <w:pict>
          <v:shape id="Obraz 5" o:spid="_x0000_i1027" type="#_x0000_t75" style="width:123pt;height:198.75pt;visibility:visible;mso-wrap-style:square">
            <v:imagedata r:id="rId9" o:title=""/>
          </v:shape>
        </w:pict>
      </w:r>
    </w:p>
    <w:p w:rsidR="009144A7" w:rsidRDefault="009144A7" w:rsidP="009144A7">
      <w:p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</w:p>
    <w:p w:rsidR="009144A7" w:rsidRDefault="009144A7" w:rsidP="009144A7">
      <w:p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</w:p>
    <w:p w:rsidR="009144A7" w:rsidRDefault="009144A7" w:rsidP="009144A7">
      <w:p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>Prosimy o potwierdzenie, że w wycenie inwestycji należy uwzględnić lustra z drążkiem do ćwiczeń w pomieszczeniach 2.14 i 2.15.</w:t>
      </w:r>
      <w:r>
        <w:rPr>
          <w:rFonts w:ascii="Verdana" w:hAnsi="Verdana" w:cs="Calibri"/>
          <w:b/>
        </w:rPr>
        <w:t xml:space="preserve"> </w:t>
      </w:r>
    </w:p>
    <w:p w:rsidR="009144A7" w:rsidRDefault="009144A7" w:rsidP="009144A7">
      <w:p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b/>
          <w:lang w:eastAsia="en-US"/>
        </w:rPr>
        <w:t xml:space="preserve">Odp.: </w:t>
      </w:r>
      <w:bookmarkStart w:id="1" w:name="__DdeLink__371_1274662089"/>
      <w:bookmarkEnd w:id="1"/>
      <w:r>
        <w:rPr>
          <w:rFonts w:ascii="Verdana" w:hAnsi="Verdana"/>
          <w:b/>
          <w:lang w:eastAsia="en-US"/>
        </w:rPr>
        <w:t>Tak, należy uwzględnić w wycenie lustra i drążki.</w:t>
      </w:r>
    </w:p>
    <w:p w:rsidR="009144A7" w:rsidRDefault="009144A7" w:rsidP="009144A7">
      <w:pPr>
        <w:spacing w:line="276" w:lineRule="auto"/>
        <w:ind w:left="360"/>
        <w:jc w:val="both"/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lang w:eastAsia="en-US"/>
        </w:rPr>
        <w:t>Prosimy o informację, czy w pomieszczeniach 1.33, 1.35 należy wycenić lustra zgodnie z rysunkiem AW-02 (MS).</w:t>
      </w:r>
      <w:r>
        <w:rPr>
          <w:rFonts w:ascii="Verdana" w:hAnsi="Verdana" w:cs="Calibri"/>
          <w:b/>
        </w:rPr>
        <w:t xml:space="preserve"> </w:t>
      </w:r>
    </w:p>
    <w:p w:rsidR="009144A7" w:rsidRDefault="009144A7" w:rsidP="009144A7">
      <w:pPr>
        <w:spacing w:line="276" w:lineRule="auto"/>
        <w:ind w:left="360"/>
        <w:jc w:val="both"/>
        <w:rPr>
          <w:rFonts w:ascii="Verdana" w:hAnsi="Verdana"/>
          <w:b/>
          <w:lang w:eastAsia="en-US"/>
        </w:rPr>
      </w:pPr>
      <w:r>
        <w:rPr>
          <w:rFonts w:ascii="Verdana" w:hAnsi="Verdana"/>
          <w:b/>
          <w:lang w:eastAsia="en-US"/>
        </w:rPr>
        <w:t>Odp.: Tak, należy uwzględnić w wycenie lustra i drążki.</w:t>
      </w:r>
    </w:p>
    <w:p w:rsidR="009144A7" w:rsidRDefault="009144A7" w:rsidP="009144A7">
      <w:pPr>
        <w:spacing w:line="276" w:lineRule="auto"/>
        <w:ind w:left="360"/>
        <w:jc w:val="both"/>
      </w:pPr>
    </w:p>
    <w:p w:rsidR="009144A7" w:rsidRDefault="009144A7" w:rsidP="009144A7">
      <w:pPr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lang w:eastAsia="en-US"/>
        </w:rPr>
      </w:pPr>
      <w:r>
        <w:rPr>
          <w:rFonts w:ascii="Verdana" w:hAnsi="Verdana"/>
          <w:lang w:eastAsia="en-US"/>
        </w:rPr>
        <w:t>Zgodnie z rysunkiem AW-10 i zapisami w SIWZ w ofercie należy uwzględnić 16 sztuk tablic do pomiaru 24 sek. Jednak takie zegary nie istnieją jako niezależne tablice. Jest jedynie możliwość wyposażenia tablic T1, T2 i T3 w takie zegary co w sumie dałoby 12 sztuk takich zegarów. Prosimy o weryfikację.</w:t>
      </w:r>
    </w:p>
    <w:p w:rsidR="009144A7" w:rsidRPr="00A31B4D" w:rsidRDefault="009144A7" w:rsidP="009144A7">
      <w:pPr>
        <w:autoSpaceDE w:val="0"/>
        <w:autoSpaceDN w:val="0"/>
        <w:adjustRightInd w:val="0"/>
        <w:spacing w:line="276" w:lineRule="auto"/>
        <w:ind w:left="349"/>
        <w:jc w:val="both"/>
        <w:rPr>
          <w:rFonts w:ascii="Verdana" w:hAnsi="Verdana"/>
          <w:b/>
          <w:lang w:eastAsia="en-US"/>
        </w:rPr>
      </w:pPr>
      <w:r w:rsidRPr="00EA3C4C">
        <w:rPr>
          <w:rFonts w:ascii="Verdana" w:hAnsi="Verdana" w:cs="Calibri"/>
          <w:b/>
        </w:rPr>
        <w:t xml:space="preserve">Odp.: </w:t>
      </w:r>
      <w:r w:rsidRPr="00E81554">
        <w:rPr>
          <w:rFonts w:ascii="Verdana" w:hAnsi="Verdana" w:cs="Calibri"/>
          <w:b/>
        </w:rPr>
        <w:t>Zamawiający potwierdza</w:t>
      </w:r>
      <w:r>
        <w:rPr>
          <w:rFonts w:ascii="Verdana" w:hAnsi="Verdana" w:cs="Calibri"/>
          <w:b/>
        </w:rPr>
        <w:t>,</w:t>
      </w:r>
      <w:r w:rsidRPr="00E81554">
        <w:rPr>
          <w:rFonts w:ascii="Verdana" w:hAnsi="Verdana" w:cs="Calibri"/>
          <w:b/>
        </w:rPr>
        <w:t xml:space="preserve"> iż należy wycenić 16 szt. </w:t>
      </w:r>
      <w:r>
        <w:rPr>
          <w:rFonts w:ascii="Verdana" w:hAnsi="Verdana"/>
          <w:b/>
          <w:lang w:eastAsia="en-US"/>
        </w:rPr>
        <w:t>„Tablic do pomiaru 24 sekund” czyli tyle ile jest koszy do koszykówki.</w:t>
      </w:r>
    </w:p>
    <w:p w:rsidR="009144A7" w:rsidRDefault="009144A7" w:rsidP="009144A7">
      <w:pPr>
        <w:autoSpaceDE w:val="0"/>
        <w:autoSpaceDN w:val="0"/>
        <w:adjustRightInd w:val="0"/>
        <w:spacing w:line="276" w:lineRule="auto"/>
        <w:ind w:left="349"/>
        <w:jc w:val="both"/>
        <w:rPr>
          <w:rFonts w:ascii="Verdana" w:hAnsi="Verdana" w:cs="Calibri"/>
          <w:b/>
        </w:rPr>
      </w:pPr>
    </w:p>
    <w:p w:rsidR="009144A7" w:rsidRDefault="009144A7" w:rsidP="009144A7">
      <w:pPr>
        <w:autoSpaceDE w:val="0"/>
        <w:autoSpaceDN w:val="0"/>
        <w:adjustRightInd w:val="0"/>
        <w:spacing w:line="276" w:lineRule="auto"/>
        <w:ind w:left="349"/>
        <w:jc w:val="both"/>
        <w:rPr>
          <w:rFonts w:ascii="Verdana" w:hAnsi="Verdana" w:cs="Calibri"/>
          <w:b/>
        </w:rPr>
      </w:pPr>
      <w:r w:rsidRPr="00E81554">
        <w:rPr>
          <w:rFonts w:ascii="Verdana" w:hAnsi="Verdana" w:cs="Calibri"/>
          <w:b/>
        </w:rPr>
        <w:t xml:space="preserve">Tablice T1, T2, T3 mają współpracować </w:t>
      </w:r>
      <w:r>
        <w:rPr>
          <w:rFonts w:ascii="Verdana" w:hAnsi="Verdana" w:cs="Calibri"/>
          <w:b/>
        </w:rPr>
        <w:t>z</w:t>
      </w:r>
      <w:r w:rsidRPr="00E81554">
        <w:rPr>
          <w:rFonts w:ascii="Verdana" w:hAnsi="Verdana" w:cs="Calibri"/>
          <w:b/>
        </w:rPr>
        <w:t xml:space="preserve"> </w:t>
      </w:r>
      <w:r>
        <w:rPr>
          <w:rFonts w:ascii="Verdana" w:hAnsi="Verdana"/>
          <w:b/>
          <w:lang w:eastAsia="en-US"/>
        </w:rPr>
        <w:t xml:space="preserve">„Tablicami do pomiaru 24 sekund” </w:t>
      </w:r>
      <w:r w:rsidRPr="00E81554">
        <w:rPr>
          <w:rFonts w:ascii="Verdana" w:hAnsi="Verdana" w:cs="Calibri"/>
          <w:b/>
        </w:rPr>
        <w:t>tj. czas kwarty</w:t>
      </w:r>
      <w:r>
        <w:rPr>
          <w:rFonts w:ascii="Verdana" w:hAnsi="Verdana" w:cs="Calibri"/>
          <w:b/>
        </w:rPr>
        <w:t xml:space="preserve"> (czas gry)</w:t>
      </w:r>
      <w:r w:rsidRPr="00E81554">
        <w:rPr>
          <w:rFonts w:ascii="Verdana" w:hAnsi="Verdana" w:cs="Calibri"/>
          <w:b/>
        </w:rPr>
        <w:t xml:space="preserve"> ma być skorelowany z tablicami na których będzie wyświetlał się wynik</w:t>
      </w:r>
      <w:r>
        <w:rPr>
          <w:rFonts w:ascii="Verdana" w:hAnsi="Verdana" w:cs="Calibri"/>
          <w:b/>
        </w:rPr>
        <w:t>i tj. tablicami T1, T2, T3</w:t>
      </w:r>
      <w:r w:rsidRPr="00E81554">
        <w:rPr>
          <w:rFonts w:ascii="Verdana" w:hAnsi="Verdana" w:cs="Calibri"/>
          <w:b/>
        </w:rPr>
        <w:t xml:space="preserve">. </w:t>
      </w:r>
    </w:p>
    <w:p w:rsidR="009144A7" w:rsidRDefault="009144A7" w:rsidP="009144A7">
      <w:pPr>
        <w:autoSpaceDE w:val="0"/>
        <w:autoSpaceDN w:val="0"/>
        <w:adjustRightInd w:val="0"/>
        <w:spacing w:line="276" w:lineRule="auto"/>
        <w:ind w:left="349"/>
        <w:jc w:val="both"/>
        <w:rPr>
          <w:rFonts w:ascii="Verdana" w:hAnsi="Verdana" w:cs="Calibri"/>
          <w:b/>
        </w:rPr>
      </w:pPr>
    </w:p>
    <w:p w:rsidR="009144A7" w:rsidRDefault="009144A7" w:rsidP="009144A7">
      <w:pPr>
        <w:autoSpaceDE w:val="0"/>
        <w:autoSpaceDN w:val="0"/>
        <w:adjustRightInd w:val="0"/>
        <w:spacing w:line="276" w:lineRule="auto"/>
        <w:ind w:left="349"/>
        <w:jc w:val="both"/>
        <w:rPr>
          <w:rFonts w:ascii="Verdana" w:hAnsi="Verdana" w:cs="Calibri"/>
          <w:b/>
        </w:rPr>
      </w:pPr>
      <w:r w:rsidRPr="00E81554">
        <w:rPr>
          <w:rFonts w:ascii="Verdana" w:hAnsi="Verdana" w:cs="Calibri"/>
          <w:b/>
        </w:rPr>
        <w:t>Tablica T1</w:t>
      </w:r>
      <w:r>
        <w:rPr>
          <w:rFonts w:ascii="Verdana" w:hAnsi="Verdana" w:cs="Calibri"/>
          <w:b/>
        </w:rPr>
        <w:t xml:space="preserve"> (na każdym boisku)</w:t>
      </w:r>
      <w:r w:rsidRPr="00E81554">
        <w:rPr>
          <w:rFonts w:ascii="Verdana" w:hAnsi="Verdana" w:cs="Calibri"/>
          <w:b/>
        </w:rPr>
        <w:t xml:space="preserve"> ma być tak skorelowana z</w:t>
      </w:r>
      <w:r>
        <w:rPr>
          <w:rFonts w:ascii="Verdana" w:hAnsi="Verdana" w:cs="Calibri"/>
          <w:b/>
        </w:rPr>
        <w:t xml:space="preserve"> 2 szt. </w:t>
      </w:r>
      <w:r>
        <w:rPr>
          <w:rFonts w:ascii="Verdana" w:hAnsi="Verdana"/>
          <w:b/>
          <w:lang w:eastAsia="en-US"/>
        </w:rPr>
        <w:t>„Tablic do pomiaru 24 sekund”</w:t>
      </w:r>
      <w:r>
        <w:rPr>
          <w:rFonts w:ascii="Verdana" w:hAnsi="Verdana" w:cs="Calibri"/>
          <w:b/>
        </w:rPr>
        <w:t xml:space="preserve"> dla </w:t>
      </w:r>
      <w:r w:rsidRPr="00E81554">
        <w:rPr>
          <w:rFonts w:ascii="Verdana" w:hAnsi="Verdana" w:cs="Calibri"/>
          <w:b/>
        </w:rPr>
        <w:t>boisk</w:t>
      </w:r>
      <w:r>
        <w:rPr>
          <w:rFonts w:ascii="Verdana" w:hAnsi="Verdana" w:cs="Calibri"/>
          <w:b/>
        </w:rPr>
        <w:t>a</w:t>
      </w:r>
      <w:r w:rsidRPr="00E81554">
        <w:rPr>
          <w:rFonts w:ascii="Verdana" w:hAnsi="Verdana" w:cs="Calibri"/>
          <w:b/>
        </w:rPr>
        <w:t xml:space="preserve"> główne</w:t>
      </w:r>
      <w:r>
        <w:rPr>
          <w:rFonts w:ascii="Verdana" w:hAnsi="Verdana" w:cs="Calibri"/>
          <w:b/>
        </w:rPr>
        <w:t xml:space="preserve">go lub </w:t>
      </w:r>
      <w:r w:rsidRPr="00E81554">
        <w:rPr>
          <w:rFonts w:ascii="Verdana" w:hAnsi="Verdana" w:cs="Calibri"/>
          <w:b/>
        </w:rPr>
        <w:t>z</w:t>
      </w:r>
      <w:r>
        <w:rPr>
          <w:rFonts w:ascii="Verdana" w:hAnsi="Verdana" w:cs="Calibri"/>
          <w:b/>
        </w:rPr>
        <w:t xml:space="preserve"> 2 szt. </w:t>
      </w:r>
      <w:r>
        <w:rPr>
          <w:rFonts w:ascii="Verdana" w:hAnsi="Verdana"/>
          <w:b/>
          <w:lang w:eastAsia="en-US"/>
        </w:rPr>
        <w:t xml:space="preserve">„Tablic do pomiaru 24 sekund” dla </w:t>
      </w:r>
      <w:r w:rsidRPr="00E81554">
        <w:rPr>
          <w:rFonts w:ascii="Verdana" w:hAnsi="Verdana" w:cs="Calibri"/>
          <w:b/>
        </w:rPr>
        <w:t>boisk</w:t>
      </w:r>
      <w:r>
        <w:rPr>
          <w:rFonts w:ascii="Verdana" w:hAnsi="Verdana" w:cs="Calibri"/>
          <w:b/>
        </w:rPr>
        <w:t>a</w:t>
      </w:r>
      <w:r w:rsidRPr="00E81554">
        <w:rPr>
          <w:rFonts w:ascii="Verdana" w:hAnsi="Verdana" w:cs="Calibri"/>
          <w:b/>
        </w:rPr>
        <w:t xml:space="preserve"> skrajn</w:t>
      </w:r>
      <w:r>
        <w:rPr>
          <w:rFonts w:ascii="Verdana" w:hAnsi="Verdana" w:cs="Calibri"/>
          <w:b/>
        </w:rPr>
        <w:t>ego.</w:t>
      </w:r>
    </w:p>
    <w:p w:rsidR="009144A7" w:rsidRDefault="009144A7" w:rsidP="009144A7">
      <w:pPr>
        <w:autoSpaceDE w:val="0"/>
        <w:autoSpaceDN w:val="0"/>
        <w:adjustRightInd w:val="0"/>
        <w:spacing w:line="276" w:lineRule="auto"/>
        <w:ind w:left="349"/>
        <w:jc w:val="both"/>
        <w:rPr>
          <w:rFonts w:ascii="Verdana" w:hAnsi="Verdana" w:cs="Calibri"/>
          <w:b/>
        </w:rPr>
      </w:pPr>
    </w:p>
    <w:p w:rsidR="009144A7" w:rsidRDefault="009144A7" w:rsidP="009144A7">
      <w:pPr>
        <w:autoSpaceDE w:val="0"/>
        <w:autoSpaceDN w:val="0"/>
        <w:adjustRightInd w:val="0"/>
        <w:spacing w:line="276" w:lineRule="auto"/>
        <w:ind w:left="349"/>
        <w:jc w:val="both"/>
        <w:rPr>
          <w:rFonts w:ascii="Verdana" w:hAnsi="Verdana" w:cs="Calibri"/>
          <w:b/>
        </w:rPr>
      </w:pPr>
      <w:r w:rsidRPr="00E81554">
        <w:rPr>
          <w:rFonts w:ascii="Verdana" w:hAnsi="Verdana" w:cs="Calibri"/>
          <w:b/>
        </w:rPr>
        <w:lastRenderedPageBreak/>
        <w:t>Tablica T</w:t>
      </w:r>
      <w:r>
        <w:rPr>
          <w:rFonts w:ascii="Verdana" w:hAnsi="Verdana" w:cs="Calibri"/>
          <w:b/>
        </w:rPr>
        <w:t>2 (na każdym boisku)</w:t>
      </w:r>
      <w:r w:rsidRPr="00E81554">
        <w:rPr>
          <w:rFonts w:ascii="Verdana" w:hAnsi="Verdana" w:cs="Calibri"/>
          <w:b/>
        </w:rPr>
        <w:t xml:space="preserve"> ma być tak skorelowana z</w:t>
      </w:r>
      <w:r>
        <w:rPr>
          <w:rFonts w:ascii="Verdana" w:hAnsi="Verdana" w:cs="Calibri"/>
          <w:b/>
        </w:rPr>
        <w:t xml:space="preserve"> 2 szt. </w:t>
      </w:r>
      <w:r>
        <w:rPr>
          <w:rFonts w:ascii="Verdana" w:hAnsi="Verdana"/>
          <w:b/>
          <w:lang w:eastAsia="en-US"/>
        </w:rPr>
        <w:t>„Tablic do pomiaru 24 sekund”</w:t>
      </w:r>
      <w:r>
        <w:rPr>
          <w:rFonts w:ascii="Verdana" w:hAnsi="Verdana" w:cs="Calibri"/>
          <w:b/>
        </w:rPr>
        <w:t xml:space="preserve"> dla </w:t>
      </w:r>
      <w:r w:rsidRPr="00E81554">
        <w:rPr>
          <w:rFonts w:ascii="Verdana" w:hAnsi="Verdana" w:cs="Calibri"/>
          <w:b/>
        </w:rPr>
        <w:t>boisk</w:t>
      </w:r>
      <w:r>
        <w:rPr>
          <w:rFonts w:ascii="Verdana" w:hAnsi="Verdana" w:cs="Calibri"/>
          <w:b/>
        </w:rPr>
        <w:t>a</w:t>
      </w:r>
      <w:r w:rsidRPr="00E81554">
        <w:rPr>
          <w:rFonts w:ascii="Verdana" w:hAnsi="Verdana" w:cs="Calibri"/>
          <w:b/>
        </w:rPr>
        <w:t xml:space="preserve"> </w:t>
      </w:r>
      <w:r>
        <w:rPr>
          <w:rFonts w:ascii="Verdana" w:hAnsi="Verdana" w:cs="Calibri"/>
          <w:b/>
        </w:rPr>
        <w:t>środkowego.</w:t>
      </w:r>
    </w:p>
    <w:p w:rsidR="009144A7" w:rsidRDefault="009144A7" w:rsidP="009144A7">
      <w:pPr>
        <w:autoSpaceDE w:val="0"/>
        <w:autoSpaceDN w:val="0"/>
        <w:adjustRightInd w:val="0"/>
        <w:spacing w:line="276" w:lineRule="auto"/>
        <w:ind w:left="349"/>
        <w:jc w:val="both"/>
        <w:rPr>
          <w:rFonts w:ascii="Verdana" w:hAnsi="Verdana" w:cs="Calibri"/>
          <w:b/>
        </w:rPr>
      </w:pPr>
    </w:p>
    <w:p w:rsidR="009144A7" w:rsidRDefault="009144A7" w:rsidP="009144A7">
      <w:pPr>
        <w:autoSpaceDE w:val="0"/>
        <w:autoSpaceDN w:val="0"/>
        <w:adjustRightInd w:val="0"/>
        <w:spacing w:line="276" w:lineRule="auto"/>
        <w:ind w:left="349"/>
        <w:jc w:val="both"/>
        <w:rPr>
          <w:rFonts w:ascii="Verdana" w:hAnsi="Verdana" w:cs="Calibri"/>
          <w:b/>
        </w:rPr>
      </w:pPr>
      <w:r w:rsidRPr="00E81554">
        <w:rPr>
          <w:rFonts w:ascii="Verdana" w:hAnsi="Verdana" w:cs="Calibri"/>
          <w:b/>
        </w:rPr>
        <w:t>Tablica T</w:t>
      </w:r>
      <w:r>
        <w:rPr>
          <w:rFonts w:ascii="Verdana" w:hAnsi="Verdana" w:cs="Calibri"/>
          <w:b/>
        </w:rPr>
        <w:t>3 (na każdym boisku)</w:t>
      </w:r>
      <w:r w:rsidRPr="00E81554">
        <w:rPr>
          <w:rFonts w:ascii="Verdana" w:hAnsi="Verdana" w:cs="Calibri"/>
          <w:b/>
        </w:rPr>
        <w:t xml:space="preserve"> ma być tak skorelowana z</w:t>
      </w:r>
      <w:r>
        <w:rPr>
          <w:rFonts w:ascii="Verdana" w:hAnsi="Verdana" w:cs="Calibri"/>
          <w:b/>
        </w:rPr>
        <w:t xml:space="preserve"> 2 szt. </w:t>
      </w:r>
      <w:r>
        <w:rPr>
          <w:rFonts w:ascii="Verdana" w:hAnsi="Verdana"/>
          <w:b/>
          <w:lang w:eastAsia="en-US"/>
        </w:rPr>
        <w:t>„Tablic do pomiaru 24 sekund”</w:t>
      </w:r>
      <w:r>
        <w:rPr>
          <w:rFonts w:ascii="Verdana" w:hAnsi="Verdana" w:cs="Calibri"/>
          <w:b/>
        </w:rPr>
        <w:t xml:space="preserve"> dla </w:t>
      </w:r>
      <w:r w:rsidRPr="00E81554">
        <w:rPr>
          <w:rFonts w:ascii="Verdana" w:hAnsi="Verdana" w:cs="Calibri"/>
          <w:b/>
        </w:rPr>
        <w:t>boisk</w:t>
      </w:r>
      <w:r>
        <w:rPr>
          <w:rFonts w:ascii="Verdana" w:hAnsi="Verdana" w:cs="Calibri"/>
          <w:b/>
        </w:rPr>
        <w:t>a</w:t>
      </w:r>
      <w:r w:rsidRPr="00E81554">
        <w:rPr>
          <w:rFonts w:ascii="Verdana" w:hAnsi="Verdana" w:cs="Calibri"/>
          <w:b/>
        </w:rPr>
        <w:t xml:space="preserve"> </w:t>
      </w:r>
      <w:r>
        <w:rPr>
          <w:rFonts w:ascii="Verdana" w:hAnsi="Verdana" w:cs="Calibri"/>
          <w:b/>
        </w:rPr>
        <w:t>drugiego skrajnego.</w:t>
      </w:r>
    </w:p>
    <w:p w:rsidR="009144A7" w:rsidRDefault="009144A7" w:rsidP="009144A7">
      <w:pPr>
        <w:autoSpaceDE w:val="0"/>
        <w:autoSpaceDN w:val="0"/>
        <w:adjustRightInd w:val="0"/>
        <w:spacing w:line="276" w:lineRule="auto"/>
        <w:ind w:left="349"/>
        <w:jc w:val="both"/>
        <w:rPr>
          <w:rFonts w:ascii="Verdana" w:hAnsi="Verdana" w:cs="Calibri"/>
          <w:b/>
        </w:rPr>
      </w:pPr>
    </w:p>
    <w:p w:rsidR="009144A7" w:rsidRDefault="009144A7" w:rsidP="009144A7">
      <w:pPr>
        <w:autoSpaceDE w:val="0"/>
        <w:autoSpaceDN w:val="0"/>
        <w:adjustRightInd w:val="0"/>
        <w:spacing w:line="276" w:lineRule="auto"/>
        <w:ind w:left="349"/>
        <w:jc w:val="both"/>
        <w:rPr>
          <w:rFonts w:ascii="Verdana" w:hAnsi="Verdana" w:cs="Calibri"/>
          <w:b/>
        </w:rPr>
      </w:pPr>
      <w:r>
        <w:rPr>
          <w:rFonts w:ascii="Verdana" w:hAnsi="Verdana" w:cs="Calibri"/>
          <w:b/>
        </w:rPr>
        <w:t xml:space="preserve">Ogólnie rzecz ujmując </w:t>
      </w:r>
      <w:r>
        <w:rPr>
          <w:rFonts w:ascii="Verdana" w:hAnsi="Verdana"/>
          <w:b/>
          <w:lang w:eastAsia="en-US"/>
        </w:rPr>
        <w:t>„Tablice do pomiaru 24 sekund” mają być powiązane z koszami do gry i tablicami na których odbywa się w tym czasie gra.</w:t>
      </w:r>
    </w:p>
    <w:p w:rsidR="009144A7" w:rsidRDefault="009144A7" w:rsidP="009144A7">
      <w:pPr>
        <w:spacing w:line="276" w:lineRule="auto"/>
        <w:jc w:val="both"/>
        <w:rPr>
          <w:rFonts w:ascii="Verdana" w:hAnsi="Verdana"/>
          <w:sz w:val="16"/>
          <w:szCs w:val="16"/>
          <w:u w:val="single"/>
        </w:rPr>
      </w:pPr>
    </w:p>
    <w:p w:rsidR="009144A7" w:rsidRPr="00943AEF" w:rsidRDefault="009144A7" w:rsidP="009144A7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43AEF" w:rsidRPr="009144A7" w:rsidRDefault="00943AEF" w:rsidP="009144A7"/>
    <w:sectPr w:rsidR="00943AEF" w:rsidRPr="009144A7" w:rsidSect="00347E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1E6" w:rsidRDefault="008871E6">
      <w:r>
        <w:separator/>
      </w:r>
    </w:p>
  </w:endnote>
  <w:endnote w:type="continuationSeparator" w:id="0">
    <w:p w:rsidR="008871E6" w:rsidRDefault="00887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1E6" w:rsidRDefault="008871E6">
      <w:r>
        <w:separator/>
      </w:r>
    </w:p>
  </w:footnote>
  <w:footnote w:type="continuationSeparator" w:id="0">
    <w:p w:rsidR="008871E6" w:rsidRDefault="00887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D50698"/>
    <w:multiLevelType w:val="multilevel"/>
    <w:tmpl w:val="58D2E0FC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1E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871E6"/>
    <w:rsid w:val="008A1D97"/>
    <w:rsid w:val="009144A7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37D8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543E58-4771-4F11-B900-A0D2A8900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44A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144A7"/>
    <w:pPr>
      <w:suppressAutoHyphens/>
      <w:autoSpaceDN w:val="0"/>
      <w:ind w:left="720"/>
      <w:textAlignment w:val="baseline"/>
    </w:pPr>
    <w:rPr>
      <w:kern w:val="3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9144A7"/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1115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2020-07-22T05:41:00Z</dcterms:created>
  <dcterms:modified xsi:type="dcterms:W3CDTF">2020-07-22T05:41:00Z</dcterms:modified>
</cp:coreProperties>
</file>