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6AE6" w:rsidRDefault="00B56AE6" w:rsidP="00B56AE6">
      <w:pPr>
        <w:pStyle w:val="Nagwek"/>
        <w:tabs>
          <w:tab w:val="clear" w:pos="4536"/>
          <w:tab w:val="right" w:pos="5387"/>
        </w:tabs>
        <w:spacing w:line="360" w:lineRule="auto"/>
        <w:rPr>
          <w:rFonts w:ascii="Verdana" w:hAnsi="Verdana"/>
        </w:rPr>
      </w:pPr>
      <w:r>
        <w:rPr>
          <w:rFonts w:ascii="Verdana" w:hAnsi="Verdana"/>
        </w:rPr>
        <w:t xml:space="preserve">Pismo: Kc-zp.272-249/20                                      </w:t>
      </w:r>
      <w:r w:rsidRPr="00B56AE6">
        <w:rPr>
          <w:rFonts w:ascii="Verdana" w:hAnsi="Verdana"/>
        </w:rPr>
        <w:t>Kraków, 2020-07-</w:t>
      </w:r>
      <w:r w:rsidR="00F01E91">
        <w:rPr>
          <w:rFonts w:ascii="Verdana" w:hAnsi="Verdana"/>
        </w:rPr>
        <w:t>10</w:t>
      </w:r>
      <w:bookmarkStart w:id="0" w:name="_GoBack"/>
      <w:bookmarkEnd w:id="0"/>
      <w:r>
        <w:rPr>
          <w:rFonts w:ascii="Verdana" w:hAnsi="Verdana"/>
        </w:rPr>
        <w:tab/>
      </w:r>
      <w:r>
        <w:rPr>
          <w:rFonts w:ascii="Verdana" w:hAnsi="Verdana"/>
        </w:rPr>
        <w:tab/>
      </w:r>
      <w:r>
        <w:rPr>
          <w:rFonts w:ascii="Verdana" w:hAnsi="Verdana"/>
        </w:rPr>
        <w:tab/>
        <w:t>Kraków, 2020-07-07</w:t>
      </w:r>
    </w:p>
    <w:p w:rsidR="00B56AE6" w:rsidRDefault="00B56AE6" w:rsidP="00B56AE6">
      <w:pPr>
        <w:pStyle w:val="Nagwek"/>
        <w:tabs>
          <w:tab w:val="left" w:pos="708"/>
        </w:tabs>
        <w:ind w:left="4536"/>
        <w:rPr>
          <w:rFonts w:ascii="Verdana" w:hAnsi="Verdana"/>
          <w:b/>
        </w:rPr>
      </w:pPr>
      <w:r>
        <w:rPr>
          <w:rFonts w:ascii="Verdana" w:hAnsi="Verdana"/>
          <w:b/>
        </w:rPr>
        <w:t xml:space="preserve">WYKONAWCY, </w:t>
      </w:r>
    </w:p>
    <w:p w:rsidR="00B56AE6" w:rsidRDefault="00B56AE6" w:rsidP="00B56AE6">
      <w:pPr>
        <w:pStyle w:val="Nagwek"/>
        <w:tabs>
          <w:tab w:val="left" w:pos="708"/>
        </w:tabs>
        <w:ind w:left="4536"/>
        <w:rPr>
          <w:rFonts w:ascii="Verdana" w:hAnsi="Verdana"/>
          <w:b/>
        </w:rPr>
      </w:pPr>
      <w:r>
        <w:rPr>
          <w:rFonts w:ascii="Verdana" w:hAnsi="Verdana"/>
          <w:b/>
        </w:rPr>
        <w:t>którzy pobrali SIWZ</w:t>
      </w:r>
    </w:p>
    <w:p w:rsidR="00B56AE6" w:rsidRDefault="00B56AE6" w:rsidP="00B56AE6">
      <w:pPr>
        <w:pStyle w:val="Nagwek1"/>
        <w:jc w:val="center"/>
        <w:rPr>
          <w:rFonts w:ascii="Verdana" w:hAnsi="Verdana"/>
          <w:sz w:val="20"/>
        </w:rPr>
      </w:pPr>
      <w:r>
        <w:rPr>
          <w:rFonts w:ascii="Verdana" w:hAnsi="Verdana"/>
          <w:sz w:val="20"/>
        </w:rPr>
        <w:t>ODPOWIEDŹ NA ZAPYTANIA W SPRAWIE SIWZ nr 1</w:t>
      </w:r>
      <w:r w:rsidR="00E05492" w:rsidRPr="00E05492">
        <w:t xml:space="preserve"> </w:t>
      </w:r>
      <w:r w:rsidR="00E05492" w:rsidRPr="00E05492">
        <w:rPr>
          <w:rFonts w:ascii="Verdana" w:hAnsi="Verdana"/>
          <w:sz w:val="20"/>
        </w:rPr>
        <w:t>oraz zmiany SIWZ</w:t>
      </w:r>
    </w:p>
    <w:p w:rsidR="00B56AE6" w:rsidRDefault="00B56AE6" w:rsidP="00B56AE6">
      <w:pPr>
        <w:ind w:left="539" w:firstLine="540"/>
        <w:jc w:val="center"/>
        <w:rPr>
          <w:rFonts w:ascii="Verdana" w:hAnsi="Verdana"/>
          <w:b/>
          <w:u w:val="single"/>
        </w:rPr>
      </w:pPr>
    </w:p>
    <w:p w:rsidR="00B56AE6" w:rsidRDefault="00B56AE6" w:rsidP="00B56AE6">
      <w:pPr>
        <w:pStyle w:val="Tekstpodstawowywcity3"/>
        <w:spacing w:line="240" w:lineRule="auto"/>
        <w:ind w:firstLine="0"/>
        <w:rPr>
          <w:rFonts w:ascii="Verdana" w:hAnsi="Verdana"/>
          <w:b/>
          <w:sz w:val="20"/>
        </w:rPr>
      </w:pPr>
      <w:r>
        <w:rPr>
          <w:rFonts w:ascii="Verdana" w:hAnsi="Verdana"/>
          <w:sz w:val="20"/>
        </w:rPr>
        <w:t xml:space="preserve">Uprzejmie informujemy, że w dniu </w:t>
      </w:r>
      <w:r>
        <w:rPr>
          <w:rFonts w:ascii="Verdana" w:hAnsi="Verdana"/>
          <w:b/>
          <w:sz w:val="20"/>
        </w:rPr>
        <w:t>2020-07-03</w:t>
      </w:r>
      <w:r>
        <w:rPr>
          <w:rFonts w:ascii="Verdana" w:hAnsi="Verdana"/>
          <w:sz w:val="20"/>
        </w:rPr>
        <w:t xml:space="preserve"> wpłynęła prośba o wyjaśnienie zapisu specyfikacji istotnych warunków zamówienia, w postępowaniu prowadzonym na podstawie przepisów ustawy z dnia 29 stycznia 2004 roku Prawo Zamówień Publicznych (Dz. U. z  2019 r. poz. 1843 ze zm.) w trybie „</w:t>
      </w:r>
      <w:r>
        <w:rPr>
          <w:rFonts w:ascii="Verdana" w:hAnsi="Verdana"/>
          <w:b/>
          <w:sz w:val="20"/>
        </w:rPr>
        <w:t>przetarg nieograniczony</w:t>
      </w:r>
      <w:r>
        <w:rPr>
          <w:rFonts w:ascii="Verdana" w:hAnsi="Verdana"/>
          <w:sz w:val="20"/>
        </w:rPr>
        <w:t xml:space="preserve">, którego przedmiotem jest </w:t>
      </w:r>
      <w:r>
        <w:rPr>
          <w:rFonts w:ascii="Verdana" w:hAnsi="Verdana"/>
          <w:b/>
          <w:sz w:val="20"/>
        </w:rPr>
        <w:t>Świadczenie usług w zakresie telefonii komórkowej dla AGH - Kc-zp.272-249/20.</w:t>
      </w:r>
    </w:p>
    <w:p w:rsidR="00B56AE6" w:rsidRDefault="00B56AE6" w:rsidP="00B56AE6">
      <w:pPr>
        <w:pStyle w:val="Tekstpodstawowywcity3"/>
        <w:spacing w:line="240" w:lineRule="auto"/>
        <w:ind w:firstLine="284"/>
        <w:rPr>
          <w:rFonts w:ascii="Verdana" w:hAnsi="Verdana"/>
          <w:sz w:val="20"/>
        </w:rPr>
      </w:pPr>
    </w:p>
    <w:p w:rsidR="00B56AE6" w:rsidRDefault="00B56AE6" w:rsidP="00B56AE6">
      <w:pPr>
        <w:pStyle w:val="Tekstpodstawowywcity3"/>
        <w:spacing w:line="240" w:lineRule="auto"/>
        <w:ind w:firstLine="0"/>
        <w:rPr>
          <w:rFonts w:ascii="Verdana" w:hAnsi="Verdana"/>
          <w:b/>
          <w:sz w:val="20"/>
          <w:u w:val="single"/>
        </w:rPr>
      </w:pPr>
      <w:r>
        <w:rPr>
          <w:rFonts w:ascii="Verdana" w:hAnsi="Verdana"/>
          <w:b/>
          <w:sz w:val="20"/>
          <w:u w:val="single"/>
        </w:rPr>
        <w:t>Treść zapytania brzmi następująco:</w:t>
      </w:r>
    </w:p>
    <w:p w:rsidR="00B56AE6" w:rsidRPr="00B56AE6" w:rsidRDefault="00B56AE6" w:rsidP="00B56AE6">
      <w:pPr>
        <w:spacing w:after="160" w:line="256" w:lineRule="auto"/>
        <w:jc w:val="both"/>
        <w:rPr>
          <w:rFonts w:ascii="Verdana" w:eastAsia="Helvetica 55 Roman" w:hAnsi="Verdana"/>
          <w:lang w:eastAsia="en-US"/>
        </w:rPr>
      </w:pPr>
      <w:r>
        <w:rPr>
          <w:rFonts w:ascii="Verdana" w:eastAsia="Helvetica 55 Roman" w:hAnsi="Verdana"/>
          <w:lang w:eastAsia="en-US"/>
        </w:rPr>
        <w:t>Uprzejmie proszę o udzielenie odpowiedzi na poniższe pytania:</w:t>
      </w:r>
    </w:p>
    <w:p w:rsidR="00B56AE6" w:rsidRDefault="00B56AE6" w:rsidP="00B56AE6">
      <w:pPr>
        <w:spacing w:after="160" w:line="256" w:lineRule="auto"/>
        <w:contextualSpacing/>
        <w:jc w:val="both"/>
        <w:rPr>
          <w:rFonts w:ascii="Verdana" w:eastAsia="Calibri" w:hAnsi="Verdana" w:cs="Calibri"/>
          <w:lang w:eastAsia="en-US"/>
        </w:rPr>
      </w:pPr>
      <w:r>
        <w:rPr>
          <w:rFonts w:ascii="Verdana" w:eastAsia="Calibri" w:hAnsi="Verdana" w:cs="Calibri"/>
          <w:b/>
          <w:lang w:eastAsia="en-US"/>
        </w:rPr>
        <w:t>1.</w:t>
      </w:r>
      <w:r>
        <w:rPr>
          <w:rFonts w:ascii="Verdana" w:eastAsia="Calibri" w:hAnsi="Verdana" w:cs="Calibri"/>
          <w:lang w:eastAsia="en-US"/>
        </w:rPr>
        <w:t xml:space="preserve"> Dotyczy §  1 ust. 5 wzoru umowy - Wnosimy o doprecyzowanie zapisów z punktu a i b. -  ponieważ w przypadku w opisanym przypadku będzie to zwiększenie zamówienia w ramach umowy, zatem Wykonawca rozumie, że Zamawiający dopuszcza wówczas zawarcie do Umowy umów o świadczenie usług w ramach zwiększonego budżetu?</w:t>
      </w:r>
    </w:p>
    <w:p w:rsidR="00B56AE6" w:rsidRDefault="00B56AE6" w:rsidP="00B56AE6">
      <w:pPr>
        <w:spacing w:after="160" w:line="256" w:lineRule="auto"/>
        <w:contextualSpacing/>
        <w:jc w:val="both"/>
        <w:rPr>
          <w:rFonts w:ascii="Verdana" w:eastAsia="Calibri" w:hAnsi="Verdana" w:cs="Calibri"/>
          <w:lang w:eastAsia="en-US"/>
        </w:rPr>
      </w:pPr>
      <w:r>
        <w:rPr>
          <w:rFonts w:ascii="Verdana" w:eastAsia="Calibri" w:hAnsi="Verdana" w:cs="Calibri"/>
          <w:b/>
          <w:lang w:eastAsia="en-US"/>
        </w:rPr>
        <w:t>2.</w:t>
      </w:r>
      <w:r>
        <w:rPr>
          <w:rFonts w:ascii="Verdana" w:eastAsia="Calibri" w:hAnsi="Verdana" w:cs="Calibri"/>
          <w:color w:val="FF0000"/>
          <w:lang w:eastAsia="en-US"/>
        </w:rPr>
        <w:t xml:space="preserve"> </w:t>
      </w:r>
      <w:r>
        <w:rPr>
          <w:rFonts w:ascii="Verdana" w:eastAsia="Calibri" w:hAnsi="Verdana" w:cs="Calibri"/>
          <w:lang w:eastAsia="en-US"/>
        </w:rPr>
        <w:t>Dotyczy § 2 ust. 3 wzoru umowy - Termin płatności liczony od daty dostarczenia faktury. Czy Zamawiający wyraża zgodę, aby regulowanie należności następowało na konto bankowe Wykonawcy w terminie 21 dni od daty wystawienia przez Wykonawcę faktury VAT, przy czym Wykonawca zobowiązuje się do dostarczenia faktury w ciągu 7 dni od daty jej wystawienia? Tylko data wystawienia faktury VAT jest datą pewną dla Wykonawcy. Wyznaczenie terminu płatności od dnia wystawienia faktury VAT pozwala na uniknięcie negatywnych konsekwencji podatkowych. Jako operator świadczący usługi telekomunikacyjne nie mamy bezpośredniego wpływu na czas dostarczenia dokumentów.</w:t>
      </w:r>
    </w:p>
    <w:p w:rsidR="00B56AE6" w:rsidRDefault="00B56AE6" w:rsidP="00B56AE6">
      <w:pPr>
        <w:spacing w:after="160" w:line="256" w:lineRule="auto"/>
        <w:contextualSpacing/>
        <w:jc w:val="both"/>
        <w:rPr>
          <w:rFonts w:ascii="Verdana" w:eastAsia="Calibri" w:hAnsi="Verdana" w:cs="Calibri"/>
          <w:lang w:eastAsia="en-US"/>
        </w:rPr>
      </w:pPr>
      <w:r>
        <w:rPr>
          <w:rFonts w:ascii="Verdana" w:eastAsia="Calibri" w:hAnsi="Verdana" w:cs="Calibri"/>
          <w:b/>
          <w:lang w:eastAsia="en-US"/>
        </w:rPr>
        <w:t>3.</w:t>
      </w:r>
      <w:r>
        <w:rPr>
          <w:rFonts w:ascii="Verdana" w:eastAsia="Calibri" w:hAnsi="Verdana" w:cs="Calibri"/>
          <w:lang w:eastAsia="en-US"/>
        </w:rPr>
        <w:t xml:space="preserve"> Dotyczy § 2 ust. 4 wzoru umowy - Za dzień zapłaty Strony uznają datę obciążenia rachunku bankowego Zamawiającego. Należy zwrócić uwagę, że postanowienie to w obecnym brzmieniu jest niezgodne z powszechną zasadą oraz linią orzecznictwa Sądu Najwyższego (por. </w:t>
      </w:r>
      <w:r>
        <w:rPr>
          <w:rFonts w:ascii="Verdana" w:eastAsia="Calibri" w:hAnsi="Verdana" w:cs="Calibri"/>
          <w:lang w:eastAsia="en-US"/>
        </w:rPr>
        <w:lastRenderedPageBreak/>
        <w:t>uchwała SN z dn. 4 stycznia 1995 r. sygn. CZP 164/94), w myśl których za dzień spełnienia świadczenia pieniężnego w postaci bezgotówkowej uważa się dzień uznania rachunku bankowego wierzyciela (tu Wykonawcy), a nie dzień obciążenia rachunku bankowego dłużnika (tu zamawiającego).  Czy w związku z powyższym Zamawiający wyrazi zgodę na zmianę powyższego zapisu i uzna dniem zapłaty dzień uznania rachunku bankowego Wykonawcy?</w:t>
      </w:r>
    </w:p>
    <w:p w:rsidR="00B56AE6" w:rsidRDefault="00B56AE6" w:rsidP="00B56AE6">
      <w:pPr>
        <w:spacing w:after="160" w:line="256" w:lineRule="auto"/>
        <w:contextualSpacing/>
        <w:jc w:val="both"/>
        <w:rPr>
          <w:rFonts w:ascii="Verdana" w:eastAsia="Calibri" w:hAnsi="Verdana" w:cs="Calibri"/>
          <w:lang w:eastAsia="en-US"/>
        </w:rPr>
      </w:pPr>
      <w:r>
        <w:rPr>
          <w:rFonts w:ascii="Verdana" w:eastAsia="Calibri" w:hAnsi="Verdana" w:cs="Calibri"/>
          <w:b/>
          <w:lang w:eastAsia="en-US"/>
        </w:rPr>
        <w:t>4.</w:t>
      </w:r>
      <w:r>
        <w:rPr>
          <w:rFonts w:ascii="Verdana" w:eastAsia="Calibri" w:hAnsi="Verdana" w:cs="Calibri"/>
          <w:lang w:eastAsia="en-US"/>
        </w:rPr>
        <w:t xml:space="preserve"> Dotyczy § 2 ust. 5 wzoru umowy - Wykonawca może dostarczać billingi w wersji papierowej lub elektronicznej. Jednoczesne rozwiązanie nie jest możliwe. Dlatego prosimy o decyzję Zamawiającego dotyczącą wybranej opcji. </w:t>
      </w:r>
    </w:p>
    <w:p w:rsidR="00B56AE6" w:rsidRDefault="00B56AE6" w:rsidP="00B56AE6">
      <w:pPr>
        <w:spacing w:after="160" w:line="256" w:lineRule="auto"/>
        <w:contextualSpacing/>
        <w:jc w:val="both"/>
        <w:rPr>
          <w:rFonts w:ascii="Verdana" w:eastAsia="Calibri" w:hAnsi="Verdana" w:cs="Calibri"/>
          <w:lang w:eastAsia="en-US"/>
        </w:rPr>
      </w:pPr>
      <w:r>
        <w:rPr>
          <w:rFonts w:ascii="Verdana" w:eastAsia="Calibri" w:hAnsi="Verdana" w:cs="Calibri"/>
          <w:b/>
          <w:lang w:eastAsia="en-US"/>
        </w:rPr>
        <w:t>5.</w:t>
      </w:r>
      <w:r>
        <w:rPr>
          <w:rFonts w:ascii="Verdana" w:eastAsia="Calibri" w:hAnsi="Verdana" w:cs="Calibri"/>
          <w:lang w:eastAsia="en-US"/>
        </w:rPr>
        <w:t xml:space="preserve"> Dotyczy § 2 ust. 8 oraz § 3 ust. 1-3 wzoru umowy - Wnioskujemy o potwierdzenie, że Zamawiający jest podmiotem odpowiedzialnym za kontrolowanie czy kwota brutto tego zadania jest wyczerpana i powiadomi Wykonawcę o ryzyku wykorzystania ww. kwoty z wyprzedzeniem obejmującym co najmniej 1 okres rozliczeniowy.</w:t>
      </w:r>
    </w:p>
    <w:p w:rsidR="00B56AE6" w:rsidRDefault="00B56AE6" w:rsidP="00B56AE6">
      <w:pPr>
        <w:spacing w:after="160" w:line="256" w:lineRule="auto"/>
        <w:contextualSpacing/>
        <w:jc w:val="both"/>
        <w:rPr>
          <w:rFonts w:ascii="Verdana" w:eastAsia="Calibri" w:hAnsi="Verdana" w:cs="Calibri"/>
          <w:lang w:eastAsia="en-US"/>
        </w:rPr>
      </w:pPr>
      <w:r>
        <w:rPr>
          <w:rFonts w:ascii="Verdana" w:eastAsia="Calibri" w:hAnsi="Verdana" w:cs="Calibri"/>
          <w:b/>
          <w:lang w:eastAsia="en-US"/>
        </w:rPr>
        <w:t>6.</w:t>
      </w:r>
      <w:r>
        <w:rPr>
          <w:rFonts w:ascii="Verdana" w:eastAsia="Calibri" w:hAnsi="Verdana" w:cs="Calibri"/>
          <w:lang w:eastAsia="en-US"/>
        </w:rPr>
        <w:t xml:space="preserve"> Dotyczy § 4 ust. 2 - Wykonawca informuje, że jego służby przyjmują informacje o awariach sieci i świadczą pomoc techniczną dotyczącą sprzętu w systemie 24/7/365 natomiast przyjmowanie zgłoszeń sprzętu do naprawy świadczone jest w godzinach pracy Doradców dedykowanych dla danego Klienta czyli w dni robocze.  Należy odróżnić zgłaszanie awarii sieci Wykonawcy (brak dostępu do Internetu) od uszkodzenia urządzenia (sprzętu umożliwiającego dostęp do Internetu i znajdującego się u Użytkownika końcowego). Infolinia Wykonawcy pomoże ustalić czy chodzi u uszkodzenie sprzętu czy o awarię sieci. W przypadku awarii sieci wykonawcy czas usunięcia awarii to 48 godzin w dni robocze.</w:t>
      </w:r>
    </w:p>
    <w:p w:rsidR="00B56AE6" w:rsidRDefault="00B56AE6" w:rsidP="00B56AE6">
      <w:pPr>
        <w:spacing w:after="160" w:line="256" w:lineRule="auto"/>
        <w:contextualSpacing/>
        <w:jc w:val="both"/>
        <w:rPr>
          <w:rFonts w:ascii="Verdana" w:eastAsia="Calibri" w:hAnsi="Verdana" w:cs="Calibri"/>
          <w:lang w:eastAsia="en-US"/>
        </w:rPr>
      </w:pPr>
      <w:r>
        <w:rPr>
          <w:rFonts w:ascii="Verdana" w:eastAsia="Calibri" w:hAnsi="Verdana" w:cs="Calibri"/>
          <w:b/>
          <w:lang w:eastAsia="en-US"/>
        </w:rPr>
        <w:t>7.</w:t>
      </w:r>
      <w:r>
        <w:rPr>
          <w:rFonts w:ascii="Verdana" w:eastAsia="Calibri" w:hAnsi="Verdana" w:cs="Calibri"/>
          <w:lang w:eastAsia="en-US"/>
        </w:rPr>
        <w:t xml:space="preserve"> Dotyczy § 4 ust. 3 oraz § 8 wzoru umowy - Z uwagi na fakt, że to nie Wykonawca udziela gwarancji, a jedynie przekazuje dokumenty gwarancyjne producenta, czy Zamawiający dopuszcza gwarancję producenta terminali i to, aby proces przebiegał na zasadach producenta i w terminach określonych w karcie gwarancyjnej?</w:t>
      </w:r>
    </w:p>
    <w:p w:rsidR="00B56AE6" w:rsidRDefault="00B56AE6" w:rsidP="00B56AE6">
      <w:pPr>
        <w:spacing w:after="160" w:line="256" w:lineRule="auto"/>
        <w:contextualSpacing/>
        <w:jc w:val="both"/>
        <w:rPr>
          <w:rFonts w:ascii="Verdana" w:eastAsia="Calibri" w:hAnsi="Verdana" w:cs="Calibri"/>
          <w:lang w:eastAsia="en-US"/>
        </w:rPr>
      </w:pPr>
      <w:r>
        <w:rPr>
          <w:rFonts w:ascii="Verdana" w:eastAsia="Calibri" w:hAnsi="Verdana" w:cs="Calibri"/>
          <w:b/>
          <w:lang w:eastAsia="en-US"/>
        </w:rPr>
        <w:t>8.</w:t>
      </w:r>
      <w:r>
        <w:rPr>
          <w:rFonts w:ascii="Verdana" w:eastAsia="Calibri" w:hAnsi="Verdana" w:cs="Calibri"/>
          <w:lang w:eastAsia="en-US"/>
        </w:rPr>
        <w:t xml:space="preserve"> Dotyczy § 4 ust. 4 wzoru umowy -  Czy Zamawiający wyraża zgodę na przeprowadzenie cesji numeru telefonicznego na osobę prywatną według procedur ogólnych obowiązujących u Wykonawcy za uprzednią zgodą Wykonawcy. </w:t>
      </w:r>
    </w:p>
    <w:p w:rsidR="00B56AE6" w:rsidRDefault="00B56AE6" w:rsidP="00B56AE6">
      <w:pPr>
        <w:spacing w:after="160" w:line="256" w:lineRule="auto"/>
        <w:contextualSpacing/>
        <w:jc w:val="both"/>
        <w:rPr>
          <w:rFonts w:ascii="Verdana" w:eastAsia="Calibri" w:hAnsi="Verdana" w:cs="Calibri"/>
          <w:lang w:eastAsia="en-US"/>
        </w:rPr>
      </w:pPr>
      <w:r>
        <w:rPr>
          <w:rFonts w:ascii="Verdana" w:eastAsia="Calibri" w:hAnsi="Verdana" w:cs="Calibri"/>
          <w:b/>
          <w:lang w:eastAsia="en-US"/>
        </w:rPr>
        <w:t>9.</w:t>
      </w:r>
      <w:r>
        <w:rPr>
          <w:rFonts w:ascii="Verdana" w:eastAsia="Calibri" w:hAnsi="Verdana" w:cs="Calibri"/>
          <w:lang w:eastAsia="en-US"/>
        </w:rPr>
        <w:t xml:space="preserve"> Dotyczy § 4 ust. 5 - adekwatne zapisy do § 4 ust. 2 - Wykonawca informuje, że jego służby przyjmują informacje o awariach sieci i świadczą pomoc techniczną dotyczącą sprzętu w systemie 24/7/365 natomiast przyjmowanie zgłoszeń sprzętu do naprawy świadczone jest w godzinach pracy Doradców dedykowanych dla danego Klienta czyli w dni robocze.  Należy odróżnić zgłaszanie awarii sieci Wykonawcy (brak dostępu do Internetu) od uszkodzenia urządzenia (sprzętu umożliwiającego dostęp do Internetu i znajdującego się u Użytkownika końcowego). Infolinia Wykonawcy pomoże ustalić czy chodzi u uszkodzenie sprzętu czy o awarię sieci. W przypadku awarii sieci wykonawcy czas usunięcia awarii to 48 godzin w dni robocze.</w:t>
      </w:r>
    </w:p>
    <w:p w:rsidR="00B56AE6" w:rsidRDefault="00B56AE6" w:rsidP="00B56AE6">
      <w:pPr>
        <w:spacing w:after="160" w:line="256" w:lineRule="auto"/>
        <w:contextualSpacing/>
        <w:jc w:val="both"/>
        <w:rPr>
          <w:rFonts w:ascii="Verdana" w:eastAsia="Calibri" w:hAnsi="Verdana" w:cs="Calibri"/>
          <w:lang w:eastAsia="en-US"/>
        </w:rPr>
      </w:pPr>
      <w:r>
        <w:rPr>
          <w:rFonts w:ascii="Verdana" w:eastAsia="Calibri" w:hAnsi="Verdana" w:cs="Calibri"/>
          <w:b/>
          <w:lang w:eastAsia="en-US"/>
        </w:rPr>
        <w:lastRenderedPageBreak/>
        <w:t>10.</w:t>
      </w:r>
      <w:r>
        <w:rPr>
          <w:rFonts w:ascii="Verdana" w:eastAsia="Calibri" w:hAnsi="Verdana" w:cs="Calibri"/>
          <w:lang w:eastAsia="en-US"/>
        </w:rPr>
        <w:t xml:space="preserve"> Dotyczy § 4 ust. 7 wzoru umowy - W przypadku awarii sprzętu do Użytkownika wysyłany jest w ciągu 48 godzin w dni robocze Kurier, który odbierze od niego zepsuty sprzęt. Dalej naprawa przebiega wg procedur autoryzowanego serwisu producenta. Ponieważ to nie Wykonawca udziela gwarancji, a jedynie przekazuje dokumenty gwarancyjne producenta, czy Zamawiający dopuszcza gwarancję producenta terminali i to, aby proces przebiegał na zasadach producenta i w terminach określonych w karcie gwarancyjnej.</w:t>
      </w:r>
    </w:p>
    <w:p w:rsidR="00B56AE6" w:rsidRDefault="00B56AE6" w:rsidP="00B56AE6">
      <w:pPr>
        <w:spacing w:after="160" w:line="256" w:lineRule="auto"/>
        <w:contextualSpacing/>
        <w:jc w:val="both"/>
        <w:rPr>
          <w:rFonts w:ascii="Verdana" w:eastAsia="Calibri" w:hAnsi="Verdana" w:cs="Calibri"/>
          <w:lang w:eastAsia="en-US"/>
        </w:rPr>
      </w:pPr>
      <w:r>
        <w:rPr>
          <w:rFonts w:ascii="Verdana" w:eastAsia="Calibri" w:hAnsi="Verdana" w:cs="Calibri"/>
          <w:b/>
          <w:lang w:eastAsia="en-US"/>
        </w:rPr>
        <w:t>11.</w:t>
      </w:r>
      <w:r>
        <w:rPr>
          <w:rFonts w:ascii="Verdana" w:eastAsia="Calibri" w:hAnsi="Verdana" w:cs="Calibri"/>
          <w:lang w:eastAsia="en-US"/>
        </w:rPr>
        <w:t xml:space="preserve"> Dotyczy § 4 ust. 8 oraz OPIS PRZEDMIOTU ZAMÓWIENIA-  V. Wymagania dotyczące usług, pkt 5-6. Wykonawca nie gwarantuje zawieszenia świadczonych usług w okresie obowiązywania umowy na czas określony. W takim przypadku możliwa jest blokada połączeń przy jednoczesnym naliczaniu opłat abonamentowych w tym okresie. Czy Zamawiający zgadza się na takie rozwiązanie? </w:t>
      </w:r>
    </w:p>
    <w:p w:rsidR="00B56AE6" w:rsidRDefault="00B56AE6" w:rsidP="00B56AE6">
      <w:pPr>
        <w:spacing w:after="160" w:line="256" w:lineRule="auto"/>
        <w:contextualSpacing/>
        <w:jc w:val="both"/>
        <w:rPr>
          <w:rFonts w:ascii="Verdana" w:eastAsia="Calibri" w:hAnsi="Verdana" w:cs="Calibri"/>
          <w:lang w:eastAsia="en-US"/>
        </w:rPr>
      </w:pPr>
      <w:r>
        <w:rPr>
          <w:rFonts w:ascii="Verdana" w:eastAsia="Calibri" w:hAnsi="Verdana" w:cs="Calibri"/>
          <w:b/>
          <w:lang w:eastAsia="en-US"/>
        </w:rPr>
        <w:t>12.</w:t>
      </w:r>
      <w:r>
        <w:rPr>
          <w:rFonts w:ascii="Verdana" w:eastAsia="Calibri" w:hAnsi="Verdana" w:cs="Calibri"/>
          <w:lang w:eastAsia="en-US"/>
        </w:rPr>
        <w:t xml:space="preserve"> Dotyczy § 5 ust. 2b - Zwracamy się z zapytaniem, czy Zamawiający wyrazi zgodę na doprecyzowanie zapisu dotyczącego procesu przeniesienia numeracji zgodnie z obowiązującymi w tym względzie przepisami prawa, a więc w następujący sposób: „Wykonawca dokona przeniesienia i aktywacji numerów telefonicznych przydzielonych przez dotychczasowego operatora zgodnie z  art. 71 ustawy z dnia 16 lipca 2004 r. - Prawo telekomunikacyjne (Dz.U. Nr. 171, poz. 1800 z późniejszymi zmianami). Przeniesienie przydzielonego numeru telefonicznego nie może powodować przerwy w świadczeniu usług telekomunikacyjnych dłuższej niż 3 godziny, pomiędzy godziną 0:00 a godziną 3:00, zgodnie z ROZPORZĄDZENIEM MINISTRA CYFRYZACJI1 z dnia 11 grudnia 2018 r. w sprawie warunków korzystania z uprawnień w publicznych sieciach telekomunikacyjnych Dz.U z 2018 poz. 2324. § 25.</w:t>
      </w:r>
    </w:p>
    <w:p w:rsidR="00B56AE6" w:rsidRDefault="00B56AE6" w:rsidP="00B56AE6">
      <w:pPr>
        <w:spacing w:after="160" w:line="256" w:lineRule="auto"/>
        <w:contextualSpacing/>
        <w:jc w:val="both"/>
        <w:rPr>
          <w:rFonts w:ascii="Verdana" w:eastAsia="Calibri" w:hAnsi="Verdana" w:cs="Calibri"/>
          <w:lang w:eastAsia="en-US"/>
        </w:rPr>
      </w:pPr>
      <w:r>
        <w:rPr>
          <w:rFonts w:ascii="Verdana" w:eastAsia="Calibri" w:hAnsi="Verdana" w:cs="Calibri"/>
          <w:b/>
          <w:lang w:eastAsia="en-US"/>
        </w:rPr>
        <w:t>13.</w:t>
      </w:r>
      <w:r>
        <w:rPr>
          <w:rFonts w:ascii="Verdana" w:eastAsia="Calibri" w:hAnsi="Verdana" w:cs="Calibri"/>
          <w:lang w:eastAsia="en-US"/>
        </w:rPr>
        <w:t xml:space="preserve"> Dotyczy § 5 ust. 2 - Zwracamy uwagę Zamawiającego na fakt, że wysokie wymaganie dotyczące naliczania kar. Zwracamy się z prośbą o uzupełnienie zapisów o informacje, że kary umowne nie będą naliczane w przypadku gdy brak realizacji warunków umowy przez Wykonawcę będzie następstwem siły wyższej lub nieupoważnionego działania osób trzecich na które to zdarzenia Wykonawca nie ma wpływu. Naliczenie kar umownych przez Zamawiającego może nastąpić wyłączenie po zakończeniu postępowania reklamacyjnego, potwierdzającego winę Wykonawcy, prowadzonego na zasadach i warunkach określonych w Rozporządzeniu Ministra Administracji i Cyfryzacji z dnia 24 lutego 2014 r. w sprawie reklamacji usług telekomunikacyjnych (Dz. U.  poz. 284).</w:t>
      </w:r>
    </w:p>
    <w:p w:rsidR="00B56AE6" w:rsidRDefault="00B56AE6" w:rsidP="00B56AE6">
      <w:pPr>
        <w:spacing w:after="160" w:line="256" w:lineRule="auto"/>
        <w:contextualSpacing/>
        <w:jc w:val="both"/>
        <w:rPr>
          <w:rFonts w:ascii="Verdana" w:eastAsia="Calibri" w:hAnsi="Verdana" w:cs="Calibri"/>
          <w:lang w:eastAsia="en-US"/>
        </w:rPr>
      </w:pPr>
      <w:r>
        <w:rPr>
          <w:rFonts w:ascii="Verdana" w:eastAsia="Calibri" w:hAnsi="Verdana" w:cs="Calibri"/>
          <w:b/>
          <w:lang w:eastAsia="en-US"/>
        </w:rPr>
        <w:t>14.</w:t>
      </w:r>
      <w:r>
        <w:rPr>
          <w:rFonts w:ascii="Verdana" w:eastAsia="Calibri" w:hAnsi="Verdana" w:cs="Calibri"/>
          <w:lang w:eastAsia="en-US"/>
        </w:rPr>
        <w:t xml:space="preserve"> OPIS PRZEDMIOTU ZAMÓWIENIA V. Wymagania dotyczące usług. 2. Taryfa minutowa: Po przekroczeniu pakietu Wykonawca nie nalicza opłat, natomiast prędkość  ulega spowolnieniu. Prosimy o akceptację takiego rozwiązania. </w:t>
      </w:r>
    </w:p>
    <w:p w:rsidR="00B56AE6" w:rsidRDefault="00B56AE6" w:rsidP="00B56AE6">
      <w:pPr>
        <w:spacing w:after="160" w:line="256" w:lineRule="auto"/>
        <w:contextualSpacing/>
        <w:jc w:val="both"/>
        <w:rPr>
          <w:rFonts w:ascii="Verdana" w:eastAsia="Calibri" w:hAnsi="Verdana" w:cs="Calibri"/>
          <w:lang w:eastAsia="en-US"/>
        </w:rPr>
      </w:pPr>
      <w:r>
        <w:rPr>
          <w:rFonts w:ascii="Verdana" w:eastAsia="Calibri" w:hAnsi="Verdana" w:cs="Calibri"/>
          <w:b/>
          <w:lang w:eastAsia="en-US"/>
        </w:rPr>
        <w:t>15.</w:t>
      </w:r>
      <w:r>
        <w:rPr>
          <w:rFonts w:ascii="Verdana" w:eastAsia="Calibri" w:hAnsi="Verdana" w:cs="Calibri"/>
          <w:lang w:eastAsia="en-US"/>
        </w:rPr>
        <w:t xml:space="preserve"> OPIS PRZEDMIOTU ZAMÓWIENIA V.22. Wykonawca umożliwi bezpłatną usługę polegającą na wygenerowaniu dwóch numerów na jednej karcie SIM i jednego numeru na dwóch kartach SIM ( do 10 szt. usług ). Wnosimy u doprecyzowanie zapisu lub jego usunięcie, ponieważ Wykonawca nie gwarantuje takich rozwiązań. </w:t>
      </w:r>
    </w:p>
    <w:p w:rsidR="00B56AE6" w:rsidRDefault="00B56AE6" w:rsidP="00B56AE6">
      <w:pPr>
        <w:spacing w:after="160" w:line="256" w:lineRule="auto"/>
        <w:contextualSpacing/>
        <w:jc w:val="both"/>
        <w:rPr>
          <w:rFonts w:ascii="Verdana" w:eastAsia="Calibri" w:hAnsi="Verdana" w:cs="Calibri"/>
          <w:lang w:eastAsia="en-US"/>
        </w:rPr>
      </w:pPr>
      <w:r>
        <w:rPr>
          <w:rFonts w:ascii="Verdana" w:eastAsia="Calibri" w:hAnsi="Verdana" w:cs="Calibri"/>
          <w:b/>
          <w:lang w:eastAsia="en-US"/>
        </w:rPr>
        <w:t>16.</w:t>
      </w:r>
      <w:r>
        <w:rPr>
          <w:rFonts w:ascii="Verdana" w:eastAsia="Calibri" w:hAnsi="Verdana" w:cs="Calibri"/>
          <w:lang w:eastAsia="en-US"/>
        </w:rPr>
        <w:t xml:space="preserve"> Wnosimy o zmianę SIWZ w zakresie odnoszącym się do technologii 5G, w tym kryterium oceny ofert o wadze 10% za zaoferowanie świadczenia usługi w tej technologii, z uwagi na fakt, że postępowanie prowadzone przez Urząd Komunikacji Elektronicznej dotyczące stosownej częstotliwości i technologii 5G nie zostało rozstrzygnięcie, a co za tym idzie, brak jest możliwości świadczenia Zamawiającemu usługi w technologii 5G i na dzień składania ofert nie wiadomo będzie kiedy i przez kogo możliwe będzie świadczenie usług w tej technologii? </w:t>
      </w:r>
    </w:p>
    <w:p w:rsidR="00B56AE6" w:rsidRDefault="00B56AE6" w:rsidP="00B56AE6">
      <w:pPr>
        <w:spacing w:after="160" w:line="256" w:lineRule="auto"/>
        <w:contextualSpacing/>
        <w:jc w:val="both"/>
        <w:rPr>
          <w:rFonts w:ascii="Verdana" w:eastAsia="Calibri" w:hAnsi="Verdana" w:cs="Calibri"/>
          <w:lang w:eastAsia="en-US"/>
        </w:rPr>
      </w:pPr>
      <w:r>
        <w:rPr>
          <w:rFonts w:ascii="Verdana" w:eastAsia="Calibri" w:hAnsi="Verdana" w:cs="Calibri"/>
          <w:b/>
          <w:lang w:eastAsia="en-US"/>
        </w:rPr>
        <w:t>17.</w:t>
      </w:r>
      <w:r>
        <w:rPr>
          <w:rFonts w:ascii="Verdana" w:eastAsia="Calibri" w:hAnsi="Verdana" w:cs="Calibri"/>
          <w:lang w:eastAsia="en-US"/>
        </w:rPr>
        <w:t xml:space="preserve"> SIWZ - OPZ pkt IV </w:t>
      </w:r>
      <w:proofErr w:type="spellStart"/>
      <w:r>
        <w:rPr>
          <w:rFonts w:ascii="Verdana" w:eastAsia="Calibri" w:hAnsi="Verdana" w:cs="Calibri"/>
          <w:lang w:eastAsia="en-US"/>
        </w:rPr>
        <w:t>ppkt</w:t>
      </w:r>
      <w:proofErr w:type="spellEnd"/>
      <w:r>
        <w:rPr>
          <w:rFonts w:ascii="Verdana" w:eastAsia="Calibri" w:hAnsi="Verdana" w:cs="Calibri"/>
          <w:lang w:eastAsia="en-US"/>
        </w:rPr>
        <w:t xml:space="preserve">. 3. - Ponieważ tylko obecny operator dysponuje danymi o obecnie generowanym ruchu z terminali komórkowych Zamawiającego, wnosimy o udostepnienie tych danych wszystkim Wykonawcom. Informujemy iż dane te obecny operator musi, na żądanie Zamawiającego, udostępnić mu w formie billingu technicznego. Żaden z Wykonawców (innych niż obecny) bez tych danych nie może skalkulować poprawnie oferty w momencie gdy Zamawiający nie dopuszcza określenia minimalnej wartości abonamentu, jednocześnie wymagając aby terminale od daty przekazania stały się własnością Zamawiającego. Wnosimy o podanie średniomiesięcznego ruchu ( w podziale na operatorów do których generowane były połączenia głosowe, SMS, MMS, GPRS, </w:t>
      </w:r>
      <w:proofErr w:type="spellStart"/>
      <w:r>
        <w:rPr>
          <w:rFonts w:ascii="Verdana" w:eastAsia="Calibri" w:hAnsi="Verdana" w:cs="Calibri"/>
          <w:lang w:eastAsia="en-US"/>
        </w:rPr>
        <w:t>roaming</w:t>
      </w:r>
      <w:proofErr w:type="spellEnd"/>
      <w:r>
        <w:rPr>
          <w:rFonts w:ascii="Verdana" w:eastAsia="Calibri" w:hAnsi="Verdana" w:cs="Calibri"/>
          <w:lang w:eastAsia="en-US"/>
        </w:rPr>
        <w:t xml:space="preserve"> itd..) w oparciu o dane z kilku miesięcy z zaznaczeniem ilości kart sim generujących ten ruch. Brak zgody na niniejszą prośbę będzie można uznać za utrudnianie dostępu do zamówienia innym Wykonawcom niż aktualny, oraz preferowanie obecnego operatora - co będzie stało w sprzeczności z ustanowieniem warunków równej i uczciwej konkurencji do czego obliguje ustawa PZP.</w:t>
      </w:r>
    </w:p>
    <w:p w:rsidR="00B56AE6" w:rsidRDefault="00B56AE6" w:rsidP="00B56AE6">
      <w:pPr>
        <w:spacing w:after="160" w:line="256" w:lineRule="auto"/>
        <w:contextualSpacing/>
        <w:jc w:val="both"/>
        <w:rPr>
          <w:rFonts w:ascii="Verdana" w:eastAsia="Calibri" w:hAnsi="Verdana" w:cs="Calibri"/>
          <w:lang w:eastAsia="en-US"/>
        </w:rPr>
      </w:pPr>
      <w:r>
        <w:rPr>
          <w:rFonts w:ascii="Verdana" w:eastAsia="Calibri" w:hAnsi="Verdana" w:cs="Calibri"/>
          <w:b/>
          <w:lang w:eastAsia="en-US"/>
        </w:rPr>
        <w:t>18.</w:t>
      </w:r>
      <w:r>
        <w:rPr>
          <w:rFonts w:ascii="Verdana" w:eastAsia="Calibri" w:hAnsi="Verdana" w:cs="Calibri"/>
          <w:lang w:eastAsia="en-US"/>
        </w:rPr>
        <w:t xml:space="preserve"> SIWZ - OPZ pkt V </w:t>
      </w:r>
      <w:proofErr w:type="spellStart"/>
      <w:r>
        <w:rPr>
          <w:rFonts w:ascii="Verdana" w:eastAsia="Calibri" w:hAnsi="Verdana" w:cs="Calibri"/>
          <w:lang w:eastAsia="en-US"/>
        </w:rPr>
        <w:t>ppkt</w:t>
      </w:r>
      <w:proofErr w:type="spellEnd"/>
      <w:r>
        <w:rPr>
          <w:rFonts w:ascii="Verdana" w:eastAsia="Calibri" w:hAnsi="Verdana" w:cs="Calibri"/>
          <w:lang w:eastAsia="en-US"/>
        </w:rPr>
        <w:t>. 1. Znacznik 3 - Wnosimy o zmianę zapisu na „nielimitowane wiadomości SMS i MMS do operatorów komórkowych w kraju”.</w:t>
      </w:r>
    </w:p>
    <w:p w:rsidR="00B56AE6" w:rsidRDefault="00B56AE6" w:rsidP="00B56AE6">
      <w:pPr>
        <w:spacing w:after="160" w:line="256" w:lineRule="auto"/>
        <w:contextualSpacing/>
        <w:jc w:val="both"/>
        <w:rPr>
          <w:rFonts w:ascii="Verdana" w:eastAsia="Calibri" w:hAnsi="Verdana" w:cs="Calibri"/>
          <w:lang w:eastAsia="en-US"/>
        </w:rPr>
      </w:pPr>
      <w:r>
        <w:rPr>
          <w:rFonts w:ascii="Verdana" w:eastAsia="Calibri" w:hAnsi="Verdana" w:cs="Calibri"/>
          <w:b/>
          <w:lang w:eastAsia="en-US"/>
        </w:rPr>
        <w:t>19.</w:t>
      </w:r>
      <w:r>
        <w:rPr>
          <w:rFonts w:ascii="Verdana" w:eastAsia="Calibri" w:hAnsi="Verdana" w:cs="Calibri"/>
          <w:lang w:eastAsia="en-US"/>
        </w:rPr>
        <w:t xml:space="preserve"> SIWZ - OPZ pkt V </w:t>
      </w:r>
      <w:proofErr w:type="spellStart"/>
      <w:r>
        <w:rPr>
          <w:rFonts w:ascii="Verdana" w:eastAsia="Calibri" w:hAnsi="Verdana" w:cs="Calibri"/>
          <w:lang w:eastAsia="en-US"/>
        </w:rPr>
        <w:t>ppkt</w:t>
      </w:r>
      <w:proofErr w:type="spellEnd"/>
      <w:r>
        <w:rPr>
          <w:rFonts w:ascii="Verdana" w:eastAsia="Calibri" w:hAnsi="Verdana" w:cs="Calibri"/>
          <w:lang w:eastAsia="en-US"/>
        </w:rPr>
        <w:t>. 2. Znacznik 1 - Wnosimy o zmianę zapisu w sposób umożliwiający zaproponowanie przez Wykonawcę jednej stawki za polaczenia, SMS , MMS do wszystkich krajowych operatorów komórkowych oraz jednej stawki za polaczenia do wszystkich krajowych operatorów stacjonarnych.</w:t>
      </w:r>
    </w:p>
    <w:p w:rsidR="00B56AE6" w:rsidRDefault="00B56AE6" w:rsidP="00B56AE6">
      <w:pPr>
        <w:spacing w:after="160" w:line="256" w:lineRule="auto"/>
        <w:contextualSpacing/>
        <w:jc w:val="both"/>
        <w:rPr>
          <w:rFonts w:ascii="Verdana" w:eastAsia="Calibri" w:hAnsi="Verdana" w:cs="Calibri"/>
          <w:lang w:eastAsia="en-US"/>
        </w:rPr>
      </w:pPr>
      <w:r>
        <w:rPr>
          <w:rFonts w:ascii="Verdana" w:eastAsia="Calibri" w:hAnsi="Verdana" w:cs="Calibri"/>
          <w:b/>
          <w:lang w:eastAsia="en-US"/>
        </w:rPr>
        <w:t>20.</w:t>
      </w:r>
      <w:r>
        <w:rPr>
          <w:rFonts w:ascii="Verdana" w:eastAsia="Calibri" w:hAnsi="Verdana" w:cs="Calibri"/>
          <w:lang w:eastAsia="en-US"/>
        </w:rPr>
        <w:t xml:space="preserve"> SIWZ - OPZ pkt VII </w:t>
      </w:r>
      <w:proofErr w:type="spellStart"/>
      <w:r>
        <w:rPr>
          <w:rFonts w:ascii="Verdana" w:eastAsia="Calibri" w:hAnsi="Verdana" w:cs="Calibri"/>
          <w:lang w:eastAsia="en-US"/>
        </w:rPr>
        <w:t>ppkt</w:t>
      </w:r>
      <w:proofErr w:type="spellEnd"/>
      <w:r>
        <w:rPr>
          <w:rFonts w:ascii="Verdana" w:eastAsia="Calibri" w:hAnsi="Verdana" w:cs="Calibri"/>
          <w:lang w:eastAsia="en-US"/>
        </w:rPr>
        <w:t>. 8. Znacznik 3 - W związku z wymogiem dostarczenia aparatu zastępczego na czas naprawy wnosimy o usunięcie zapisu mówiącego o maksymalnym czasie naprawy 5 dni.</w:t>
      </w:r>
    </w:p>
    <w:p w:rsidR="00B56AE6" w:rsidRDefault="00B56AE6" w:rsidP="00B56AE6">
      <w:pPr>
        <w:spacing w:after="160" w:line="256" w:lineRule="auto"/>
        <w:contextualSpacing/>
        <w:jc w:val="both"/>
        <w:rPr>
          <w:rFonts w:ascii="Verdana" w:eastAsia="Calibri" w:hAnsi="Verdana" w:cs="Calibri"/>
          <w:lang w:eastAsia="en-US"/>
        </w:rPr>
      </w:pPr>
      <w:r>
        <w:rPr>
          <w:rFonts w:ascii="Verdana" w:eastAsia="Calibri" w:hAnsi="Verdana" w:cs="Calibri"/>
          <w:b/>
          <w:lang w:eastAsia="en-US"/>
        </w:rPr>
        <w:t>21.</w:t>
      </w:r>
      <w:r>
        <w:rPr>
          <w:rFonts w:ascii="Verdana" w:eastAsia="Calibri" w:hAnsi="Verdana" w:cs="Calibri"/>
          <w:lang w:eastAsia="en-US"/>
        </w:rPr>
        <w:t xml:space="preserve"> OPZ pkt VII </w:t>
      </w:r>
      <w:proofErr w:type="spellStart"/>
      <w:r>
        <w:rPr>
          <w:rFonts w:ascii="Verdana" w:eastAsia="Calibri" w:hAnsi="Verdana" w:cs="Calibri"/>
          <w:lang w:eastAsia="en-US"/>
        </w:rPr>
        <w:t>ppkt</w:t>
      </w:r>
      <w:proofErr w:type="spellEnd"/>
      <w:r>
        <w:rPr>
          <w:rFonts w:ascii="Verdana" w:eastAsia="Calibri" w:hAnsi="Verdana" w:cs="Calibri"/>
          <w:lang w:eastAsia="en-US"/>
        </w:rPr>
        <w:t>. 8. PULA 1 Telefon 2. - Czy warunek zostanie uznany za spełniony w przypadku gdy terminal będzie posiadał preinstalowany system Android 9.0 ale jest dla niego udostępniona aktualizacja do wersji Android 10, którą będzie można przeprowadzić samodzielnie po uruchomieniu telefonu.</w:t>
      </w:r>
    </w:p>
    <w:p w:rsidR="00B56AE6" w:rsidRDefault="00B56AE6" w:rsidP="00B56AE6">
      <w:pPr>
        <w:spacing w:after="160" w:line="256" w:lineRule="auto"/>
        <w:contextualSpacing/>
        <w:jc w:val="both"/>
        <w:rPr>
          <w:rFonts w:ascii="Verdana" w:eastAsia="Calibri" w:hAnsi="Verdana" w:cs="Calibri"/>
          <w:lang w:eastAsia="en-US"/>
        </w:rPr>
      </w:pPr>
      <w:r>
        <w:rPr>
          <w:rFonts w:ascii="Verdana" w:eastAsia="Calibri" w:hAnsi="Verdana" w:cs="Calibri"/>
          <w:b/>
          <w:lang w:eastAsia="en-US"/>
        </w:rPr>
        <w:t>22.</w:t>
      </w:r>
      <w:r>
        <w:rPr>
          <w:rFonts w:ascii="Verdana" w:eastAsia="Calibri" w:hAnsi="Verdana" w:cs="Calibri"/>
          <w:lang w:eastAsia="en-US"/>
        </w:rPr>
        <w:t xml:space="preserve"> SIWZ - OPZ pkt VII </w:t>
      </w:r>
      <w:proofErr w:type="spellStart"/>
      <w:r>
        <w:rPr>
          <w:rFonts w:ascii="Verdana" w:eastAsia="Calibri" w:hAnsi="Verdana" w:cs="Calibri"/>
          <w:lang w:eastAsia="en-US"/>
        </w:rPr>
        <w:t>ppkt</w:t>
      </w:r>
      <w:proofErr w:type="spellEnd"/>
      <w:r>
        <w:rPr>
          <w:rFonts w:ascii="Verdana" w:eastAsia="Calibri" w:hAnsi="Verdana" w:cs="Calibri"/>
          <w:lang w:eastAsia="en-US"/>
        </w:rPr>
        <w:t xml:space="preserve">. 8. PULA 3 Telefon 1. - Zwracamy uwagę, że procesor </w:t>
      </w:r>
      <w:proofErr w:type="spellStart"/>
      <w:r>
        <w:rPr>
          <w:rFonts w:ascii="Verdana" w:eastAsia="Calibri" w:hAnsi="Verdana" w:cs="Calibri"/>
          <w:lang w:eastAsia="en-US"/>
        </w:rPr>
        <w:t>Snapdragon</w:t>
      </w:r>
      <w:proofErr w:type="spellEnd"/>
      <w:r>
        <w:rPr>
          <w:rFonts w:ascii="Verdana" w:eastAsia="Calibri" w:hAnsi="Verdana" w:cs="Calibri"/>
          <w:lang w:eastAsia="en-US"/>
        </w:rPr>
        <w:t xml:space="preserve"> 730 jest wykonany w technologii 8nm a nie 7 nm. Wnosimy o poprawienie danych.</w:t>
      </w:r>
    </w:p>
    <w:p w:rsidR="00B56AE6" w:rsidRDefault="00B56AE6" w:rsidP="00B56AE6">
      <w:pPr>
        <w:spacing w:after="160" w:line="256" w:lineRule="auto"/>
        <w:contextualSpacing/>
        <w:jc w:val="both"/>
        <w:rPr>
          <w:rFonts w:ascii="Verdana" w:eastAsia="Calibri" w:hAnsi="Verdana" w:cs="Calibri"/>
          <w:lang w:eastAsia="en-US"/>
        </w:rPr>
      </w:pPr>
      <w:r>
        <w:rPr>
          <w:rFonts w:ascii="Verdana" w:eastAsia="Calibri" w:hAnsi="Verdana" w:cs="Calibri"/>
          <w:b/>
          <w:lang w:eastAsia="en-US"/>
        </w:rPr>
        <w:t>23.</w:t>
      </w:r>
      <w:r>
        <w:rPr>
          <w:rFonts w:ascii="Verdana" w:eastAsia="Calibri" w:hAnsi="Verdana" w:cs="Calibri"/>
          <w:lang w:eastAsia="en-US"/>
        </w:rPr>
        <w:t xml:space="preserve"> SIWZ - OPZ pkt VII </w:t>
      </w:r>
      <w:proofErr w:type="spellStart"/>
      <w:r>
        <w:rPr>
          <w:rFonts w:ascii="Verdana" w:eastAsia="Calibri" w:hAnsi="Verdana" w:cs="Calibri"/>
          <w:lang w:eastAsia="en-US"/>
        </w:rPr>
        <w:t>ppkt</w:t>
      </w:r>
      <w:proofErr w:type="spellEnd"/>
      <w:r>
        <w:rPr>
          <w:rFonts w:ascii="Verdana" w:eastAsia="Calibri" w:hAnsi="Verdana" w:cs="Calibri"/>
          <w:lang w:eastAsia="en-US"/>
        </w:rPr>
        <w:t xml:space="preserve">. 8. </w:t>
      </w:r>
      <w:proofErr w:type="spellStart"/>
      <w:r>
        <w:rPr>
          <w:rFonts w:ascii="Verdana" w:eastAsia="Calibri" w:hAnsi="Verdana" w:cs="Calibri"/>
          <w:lang w:eastAsia="en-US"/>
        </w:rPr>
        <w:t>ppkt</w:t>
      </w:r>
      <w:proofErr w:type="spellEnd"/>
      <w:r>
        <w:rPr>
          <w:rFonts w:ascii="Verdana" w:eastAsia="Calibri" w:hAnsi="Verdana" w:cs="Calibri"/>
          <w:lang w:eastAsia="en-US"/>
        </w:rPr>
        <w:t xml:space="preserve"> 4. - Wnosimy o potwierdzenie iż pierwsza dostawa sprzętu odbędzie się jednym zamówieniem, pod jeden wskazany adres i do jednej wskazanej przez Zamawiającego jako kontakt dla kuriera osoby i Zamawiający we własnym zakresie rozdystrybuuje sprzęt do poszczególnych jednostek. </w:t>
      </w:r>
    </w:p>
    <w:p w:rsidR="00B56AE6" w:rsidRDefault="00B56AE6" w:rsidP="00B56AE6">
      <w:pPr>
        <w:spacing w:after="160" w:line="256" w:lineRule="auto"/>
        <w:contextualSpacing/>
        <w:jc w:val="both"/>
        <w:rPr>
          <w:rFonts w:ascii="Verdana" w:eastAsia="Calibri" w:hAnsi="Verdana" w:cs="Calibri"/>
          <w:lang w:eastAsia="en-US"/>
        </w:rPr>
      </w:pPr>
      <w:r>
        <w:rPr>
          <w:rFonts w:ascii="Verdana" w:eastAsia="Calibri" w:hAnsi="Verdana" w:cs="Calibri"/>
          <w:b/>
          <w:lang w:eastAsia="en-US"/>
        </w:rPr>
        <w:t>24.</w:t>
      </w:r>
      <w:r>
        <w:rPr>
          <w:rFonts w:ascii="Verdana" w:eastAsia="Calibri" w:hAnsi="Verdana" w:cs="Calibri"/>
          <w:lang w:eastAsia="en-US"/>
        </w:rPr>
        <w:t xml:space="preserve"> SIWZ - OPZ pkt VII </w:t>
      </w:r>
      <w:proofErr w:type="spellStart"/>
      <w:r>
        <w:rPr>
          <w:rFonts w:ascii="Verdana" w:eastAsia="Calibri" w:hAnsi="Verdana" w:cs="Calibri"/>
          <w:lang w:eastAsia="en-US"/>
        </w:rPr>
        <w:t>ppkt</w:t>
      </w:r>
      <w:proofErr w:type="spellEnd"/>
      <w:r>
        <w:rPr>
          <w:rFonts w:ascii="Verdana" w:eastAsia="Calibri" w:hAnsi="Verdana" w:cs="Calibri"/>
          <w:lang w:eastAsia="en-US"/>
        </w:rPr>
        <w:t xml:space="preserve">. 8. </w:t>
      </w:r>
      <w:proofErr w:type="spellStart"/>
      <w:r>
        <w:rPr>
          <w:rFonts w:ascii="Verdana" w:eastAsia="Calibri" w:hAnsi="Verdana" w:cs="Calibri"/>
          <w:lang w:eastAsia="en-US"/>
        </w:rPr>
        <w:t>ppkt</w:t>
      </w:r>
      <w:proofErr w:type="spellEnd"/>
      <w:r>
        <w:rPr>
          <w:rFonts w:ascii="Verdana" w:eastAsia="Calibri" w:hAnsi="Verdana" w:cs="Calibri"/>
          <w:lang w:eastAsia="en-US"/>
        </w:rPr>
        <w:t xml:space="preserve"> 6. - Wnosimy o doprecyzowanie o jakich urządzeniach pisze Zamawiający w tym punkcie.</w:t>
      </w:r>
    </w:p>
    <w:p w:rsidR="00B56AE6" w:rsidRDefault="00B56AE6" w:rsidP="00B56AE6">
      <w:pPr>
        <w:spacing w:after="160" w:line="256" w:lineRule="auto"/>
        <w:contextualSpacing/>
        <w:jc w:val="both"/>
        <w:rPr>
          <w:rFonts w:ascii="Verdana" w:eastAsia="Calibri" w:hAnsi="Verdana" w:cs="Calibri"/>
          <w:lang w:eastAsia="en-US"/>
        </w:rPr>
      </w:pPr>
      <w:r>
        <w:rPr>
          <w:rFonts w:ascii="Verdana" w:eastAsia="Calibri" w:hAnsi="Verdana" w:cs="Calibri"/>
          <w:b/>
          <w:lang w:eastAsia="en-US"/>
        </w:rPr>
        <w:t>25.</w:t>
      </w:r>
      <w:r>
        <w:rPr>
          <w:rFonts w:ascii="Verdana" w:eastAsia="Calibri" w:hAnsi="Verdana" w:cs="Calibri"/>
          <w:lang w:eastAsia="en-US"/>
        </w:rPr>
        <w:t xml:space="preserve"> SIWZ - OPZ pkt VII </w:t>
      </w:r>
      <w:proofErr w:type="spellStart"/>
      <w:r>
        <w:rPr>
          <w:rFonts w:ascii="Verdana" w:eastAsia="Calibri" w:hAnsi="Verdana" w:cs="Calibri"/>
          <w:lang w:eastAsia="en-US"/>
        </w:rPr>
        <w:t>ppkt</w:t>
      </w:r>
      <w:proofErr w:type="spellEnd"/>
      <w:r>
        <w:rPr>
          <w:rFonts w:ascii="Verdana" w:eastAsia="Calibri" w:hAnsi="Verdana" w:cs="Calibri"/>
          <w:lang w:eastAsia="en-US"/>
        </w:rPr>
        <w:t>. 3. znacznik 2. - Ponieważ Zamawiający zastrzega sobie prawo do wydłużenia umowy o kolejne 12 miesięcy, czy w związku z tym dopuści możliwość zaproponowania zarówno dla telefonów zamawiający w trakcie umowy jak i tych w prawie opcji zaproponowanie modeli, które będą następcami modeli wprowadzonych do załącznika nr 5 czyli wykazu oferowanego sprzętu. Magazynowanie modeli zaproponowanych w ofercie przez okres 24 miesięcy a nawet 36 miesięcy generuje dodatkowe koszty dla Wykonawców.</w:t>
      </w:r>
    </w:p>
    <w:p w:rsidR="00B56AE6" w:rsidRDefault="00B56AE6" w:rsidP="00B56AE6">
      <w:pPr>
        <w:spacing w:after="160" w:line="256" w:lineRule="auto"/>
        <w:contextualSpacing/>
        <w:jc w:val="both"/>
        <w:rPr>
          <w:rFonts w:ascii="Verdana" w:eastAsia="Calibri" w:hAnsi="Verdana" w:cs="Calibri"/>
          <w:lang w:eastAsia="en-US"/>
        </w:rPr>
      </w:pPr>
      <w:r>
        <w:rPr>
          <w:rFonts w:ascii="Verdana" w:eastAsia="Calibri" w:hAnsi="Verdana" w:cs="Calibri"/>
          <w:b/>
          <w:lang w:eastAsia="en-US"/>
        </w:rPr>
        <w:t>26.</w:t>
      </w:r>
      <w:r>
        <w:rPr>
          <w:rFonts w:ascii="Verdana" w:eastAsia="Calibri" w:hAnsi="Verdana" w:cs="Calibri"/>
          <w:lang w:eastAsia="en-US"/>
        </w:rPr>
        <w:t xml:space="preserve"> SIWZ - OPZ pkt VIII </w:t>
      </w:r>
      <w:proofErr w:type="spellStart"/>
      <w:r>
        <w:rPr>
          <w:rFonts w:ascii="Verdana" w:eastAsia="Calibri" w:hAnsi="Verdana" w:cs="Calibri"/>
          <w:lang w:eastAsia="en-US"/>
        </w:rPr>
        <w:t>ppkt</w:t>
      </w:r>
      <w:proofErr w:type="spellEnd"/>
      <w:r>
        <w:rPr>
          <w:rFonts w:ascii="Verdana" w:eastAsia="Calibri" w:hAnsi="Verdana" w:cs="Calibri"/>
          <w:lang w:eastAsia="en-US"/>
        </w:rPr>
        <w:t>. 8. PULA 1 Telefon 2. - W maksymalnego czasu naprawy 5 dni, wnosimy o doprecyzowanie czy czas ten liczony jest od daty dostarczenia sprzętu do serwisu?</w:t>
      </w:r>
    </w:p>
    <w:p w:rsidR="00B56AE6" w:rsidRDefault="00B56AE6" w:rsidP="00B56AE6">
      <w:pPr>
        <w:spacing w:after="160" w:line="256" w:lineRule="auto"/>
        <w:contextualSpacing/>
        <w:jc w:val="both"/>
        <w:rPr>
          <w:rFonts w:ascii="Verdana" w:eastAsia="Calibri" w:hAnsi="Verdana" w:cs="Calibri"/>
          <w:lang w:eastAsia="en-US"/>
        </w:rPr>
      </w:pPr>
      <w:r>
        <w:rPr>
          <w:rFonts w:ascii="Verdana" w:eastAsia="Calibri" w:hAnsi="Verdana" w:cs="Calibri"/>
          <w:b/>
          <w:lang w:eastAsia="en-US"/>
        </w:rPr>
        <w:t>27.</w:t>
      </w:r>
      <w:r>
        <w:rPr>
          <w:rFonts w:ascii="Verdana" w:eastAsia="Calibri" w:hAnsi="Verdana" w:cs="Calibri"/>
          <w:lang w:eastAsia="en-US"/>
        </w:rPr>
        <w:t xml:space="preserve"> SIWZ - OPZ pkt VI </w:t>
      </w:r>
      <w:proofErr w:type="spellStart"/>
      <w:r>
        <w:rPr>
          <w:rFonts w:ascii="Verdana" w:eastAsia="Calibri" w:hAnsi="Verdana" w:cs="Calibri"/>
          <w:lang w:eastAsia="en-US"/>
        </w:rPr>
        <w:t>ppkt</w:t>
      </w:r>
      <w:proofErr w:type="spellEnd"/>
      <w:r>
        <w:rPr>
          <w:rFonts w:ascii="Verdana" w:eastAsia="Calibri" w:hAnsi="Verdana" w:cs="Calibri"/>
          <w:lang w:eastAsia="en-US"/>
        </w:rPr>
        <w:t>. 3. znacznik 4 - Wnosimy o doprecyzowanie co Zamawiający miał na myśląc pisząc o możliwości potwierdzenia dostarczenia SMS/MMS przez odbiorcę, czy  to oznacza, że  odbiorca  odsyła odpowiedź  na MSS lub SMS  w której  potwierdza otrzymanie ? Czy warunek zostanie spełniony jeśli będzie raport o dostarczeniu odbiorcy?</w:t>
      </w:r>
    </w:p>
    <w:p w:rsidR="00B56AE6" w:rsidRDefault="00B56AE6" w:rsidP="00B56AE6">
      <w:pPr>
        <w:spacing w:after="160" w:line="256" w:lineRule="auto"/>
        <w:contextualSpacing/>
        <w:jc w:val="both"/>
        <w:rPr>
          <w:rFonts w:ascii="Verdana" w:eastAsia="Calibri" w:hAnsi="Verdana" w:cs="Calibri"/>
          <w:lang w:eastAsia="en-US"/>
        </w:rPr>
      </w:pPr>
      <w:r>
        <w:rPr>
          <w:rFonts w:ascii="Verdana" w:eastAsia="Calibri" w:hAnsi="Verdana" w:cs="Calibri"/>
          <w:b/>
          <w:lang w:eastAsia="en-US"/>
        </w:rPr>
        <w:t>28.</w:t>
      </w:r>
      <w:r>
        <w:rPr>
          <w:rFonts w:ascii="Verdana" w:eastAsia="Calibri" w:hAnsi="Verdana" w:cs="Calibri"/>
          <w:lang w:eastAsia="en-US"/>
        </w:rPr>
        <w:t xml:space="preserve"> Prosimy o potwierdzenie,  że  w przypadku wyboru oferty Wykonawcy   prowadzącego działalność w formie spółki akcyjnej, część </w:t>
      </w:r>
      <w:proofErr w:type="spellStart"/>
      <w:r>
        <w:rPr>
          <w:rFonts w:ascii="Verdana" w:eastAsia="Calibri" w:hAnsi="Verdana" w:cs="Calibri"/>
          <w:lang w:eastAsia="en-US"/>
        </w:rPr>
        <w:t>komparycyjna</w:t>
      </w:r>
      <w:proofErr w:type="spellEnd"/>
      <w:r>
        <w:rPr>
          <w:rFonts w:ascii="Verdana" w:eastAsia="Calibri" w:hAnsi="Verdana" w:cs="Calibri"/>
          <w:lang w:eastAsia="en-US"/>
        </w:rPr>
        <w:t xml:space="preserve"> Umowy będzie obejmować wszelkie dane wymagane przez art. 374 § 1 </w:t>
      </w:r>
      <w:proofErr w:type="spellStart"/>
      <w:r>
        <w:rPr>
          <w:rFonts w:ascii="Verdana" w:eastAsia="Calibri" w:hAnsi="Verdana" w:cs="Calibri"/>
          <w:lang w:eastAsia="en-US"/>
        </w:rPr>
        <w:t>Ksh</w:t>
      </w:r>
      <w:proofErr w:type="spellEnd"/>
      <w:r>
        <w:rPr>
          <w:rFonts w:ascii="Verdana" w:eastAsia="Calibri" w:hAnsi="Verdana" w:cs="Calibri"/>
          <w:lang w:eastAsia="en-US"/>
        </w:rPr>
        <w:t>.</w:t>
      </w:r>
    </w:p>
    <w:p w:rsidR="00B56AE6" w:rsidRDefault="00B56AE6" w:rsidP="00B56AE6">
      <w:pPr>
        <w:spacing w:after="160" w:line="256" w:lineRule="auto"/>
        <w:contextualSpacing/>
        <w:jc w:val="both"/>
        <w:rPr>
          <w:rFonts w:ascii="Verdana" w:eastAsia="Calibri" w:hAnsi="Verdana" w:cs="Calibri"/>
          <w:lang w:eastAsia="en-US"/>
        </w:rPr>
      </w:pPr>
      <w:r>
        <w:rPr>
          <w:rFonts w:ascii="Verdana" w:eastAsia="Calibri" w:hAnsi="Verdana" w:cs="Calibri"/>
          <w:b/>
          <w:lang w:eastAsia="en-US"/>
        </w:rPr>
        <w:t>29.</w:t>
      </w:r>
      <w:r>
        <w:rPr>
          <w:rFonts w:ascii="Verdana" w:eastAsia="Calibri" w:hAnsi="Verdana" w:cs="Calibri"/>
          <w:lang w:eastAsia="en-US"/>
        </w:rPr>
        <w:t xml:space="preserve"> Zgodnie z treścią  § 2 ust. 3 Umowy  Należności za wykonane usługi Zamawiający będzie regulował przelewem na konto bankowe wykonawcy wskazane na fakturze, w terminie 21 dni od dnia otrzymania prawidłowych faktur VAT wystawianych za wykonywane usługi na osobne konta dla poszczególnych jednostek AGH. Wykonawca zwraca się o rozważenie dodania, zapisu, wskazującego, że płatność nastąpi w terminie 21 dni od daty wystawienia faktury, z tym zastrzeżeniem, że  Wykonawca zobowiązany jest do doręczenia  faktury w terminie 7 dni od daty wystawienia. Czy w związku z powyższym  Zamawiają  dopuszcza możliwość modyfikacji treści zapisu  w ww. sposób?</w:t>
      </w:r>
    </w:p>
    <w:p w:rsidR="00B56AE6" w:rsidRDefault="00B56AE6" w:rsidP="00B56AE6">
      <w:pPr>
        <w:spacing w:after="160" w:line="256" w:lineRule="auto"/>
        <w:contextualSpacing/>
        <w:jc w:val="both"/>
        <w:rPr>
          <w:rFonts w:ascii="Verdana" w:eastAsia="Calibri" w:hAnsi="Verdana" w:cs="Calibri"/>
          <w:lang w:eastAsia="en-US"/>
        </w:rPr>
      </w:pPr>
      <w:r>
        <w:rPr>
          <w:rFonts w:ascii="Verdana" w:eastAsia="Calibri" w:hAnsi="Verdana" w:cs="Calibri"/>
          <w:b/>
          <w:lang w:eastAsia="en-US"/>
        </w:rPr>
        <w:t>30.</w:t>
      </w:r>
      <w:r>
        <w:rPr>
          <w:rFonts w:ascii="Verdana" w:eastAsia="Calibri" w:hAnsi="Verdana" w:cs="Calibri"/>
          <w:lang w:eastAsia="en-US"/>
        </w:rPr>
        <w:t xml:space="preserve"> Wykonawca  zwraca się o potwierdzenie, że  Zamawiający   wyraża zgodę na uzupełnienie  zapisu  § 5 ust. 5 Umowy – Jeżeli kary umowne nie pokryją poniesionej szkody, Strony niniejszej umowy zastrzegają sobie prawo dochodzenia odszkodowania uzupełniającego na zasadach określonych w art. 471 K.C. do wysokości poniesionej szkody,  poprzez wskazanie, że  łączna wysokość odszkodowania wraz z naliczonymi karami nie przekroczy  całkowitej wartości umowy. Zwrócić należy  uwagę, że wskazanie maksymalnej odszkodowania  umożliwia oszacowanie ryzyka kontraktowego  związanego z realizacją umowy. Wykonawca  zwraca się z pytaniem czy możliwym jest  uzupełnienie  treści  postanowień  Umowy  o zapis, zgodnie z którym: „Całkowita suma kar umownych naliczonych na podstawie § 5 ust,2 pkt </w:t>
      </w:r>
      <w:proofErr w:type="spellStart"/>
      <w:r>
        <w:rPr>
          <w:rFonts w:ascii="Verdana" w:eastAsia="Calibri" w:hAnsi="Verdana" w:cs="Calibri"/>
          <w:lang w:eastAsia="en-US"/>
        </w:rPr>
        <w:t>a,b</w:t>
      </w:r>
      <w:proofErr w:type="spellEnd"/>
      <w:r>
        <w:rPr>
          <w:rFonts w:ascii="Verdana" w:eastAsia="Calibri" w:hAnsi="Verdana" w:cs="Calibri"/>
          <w:lang w:eastAsia="en-US"/>
        </w:rPr>
        <w:t xml:space="preserve">, d, f, g umowy nie przekroczy   20 % wartości łącznego wynagrodzenia brutto określonego w Umowie ”?  Wskazanie maksymalnej wysokości kar umownych daje możliwość   oceny  ryzyka   związanego z realizacją umowy. Podkreślenia wymaga, że kary umowne powinny  służyć zabezpieczeniu terminowego i należytego wykonania prac, a nie być nadmiernym i nieuzasadnionym obciążeniem dla wykonawcy. Gdyby  jednak  Zamawiający nie uwzględnił ograniczenia całkowitej wysokości kar umownych do proponowanej  wysokości 20 % wartości Umowy brutto, Wykonawca zwraca się o  wskazanie i  rozważenie innej wartości procentowej.  </w:t>
      </w:r>
    </w:p>
    <w:p w:rsidR="00B56AE6" w:rsidRDefault="00B56AE6" w:rsidP="00B56AE6">
      <w:pPr>
        <w:pStyle w:val="Tekstpodstawowywcity3"/>
        <w:spacing w:line="240" w:lineRule="auto"/>
        <w:ind w:firstLine="0"/>
        <w:rPr>
          <w:rFonts w:ascii="Verdana" w:hAnsi="Verdana"/>
          <w:sz w:val="20"/>
        </w:rPr>
      </w:pPr>
    </w:p>
    <w:p w:rsidR="00B56AE6" w:rsidRPr="00E05492" w:rsidRDefault="00B56AE6" w:rsidP="00E05492">
      <w:pPr>
        <w:pStyle w:val="Tekstpodstawowywcity3"/>
        <w:spacing w:line="240" w:lineRule="auto"/>
        <w:ind w:firstLine="0"/>
        <w:rPr>
          <w:rFonts w:ascii="Verdana" w:hAnsi="Verdana"/>
          <w:b/>
          <w:sz w:val="20"/>
          <w:u w:val="single"/>
        </w:rPr>
      </w:pPr>
      <w:r>
        <w:rPr>
          <w:rFonts w:ascii="Verdana" w:hAnsi="Verdana"/>
          <w:b/>
          <w:sz w:val="20"/>
          <w:u w:val="single"/>
        </w:rPr>
        <w:t>Odpowiedź Zamawiającego:</w:t>
      </w:r>
    </w:p>
    <w:p w:rsidR="00B56AE6" w:rsidRDefault="00B56AE6" w:rsidP="00B56AE6">
      <w:pPr>
        <w:jc w:val="both"/>
        <w:rPr>
          <w:rFonts w:ascii="Verdana" w:eastAsia="Calibri" w:hAnsi="Verdana" w:cs="Calibri"/>
          <w:lang w:eastAsia="en-US"/>
        </w:rPr>
      </w:pPr>
      <w:r>
        <w:rPr>
          <w:rFonts w:ascii="Verdana" w:eastAsia="Calibri" w:hAnsi="Verdana" w:cs="Calibri"/>
          <w:b/>
          <w:lang w:eastAsia="en-US"/>
        </w:rPr>
        <w:t>Ad.1)</w:t>
      </w:r>
      <w:r>
        <w:rPr>
          <w:rFonts w:ascii="Verdana" w:eastAsia="Calibri" w:hAnsi="Verdana" w:cs="Calibri"/>
          <w:lang w:eastAsia="en-US"/>
        </w:rPr>
        <w:t xml:space="preserve"> Zamawiający nie wyraża zgody na </w:t>
      </w:r>
      <w:r w:rsidRPr="00B56AE6">
        <w:rPr>
          <w:rFonts w:ascii="Verdana" w:eastAsia="Calibri" w:hAnsi="Verdana" w:cs="Calibri"/>
          <w:color w:val="000000"/>
          <w:lang w:eastAsia="en-US"/>
        </w:rPr>
        <w:t>zawarcie</w:t>
      </w:r>
      <w:r>
        <w:rPr>
          <w:rFonts w:ascii="Verdana" w:eastAsia="Calibri" w:hAnsi="Verdana" w:cs="Calibri"/>
          <w:lang w:eastAsia="en-US"/>
        </w:rPr>
        <w:t xml:space="preserve"> dodatkowych umów o świadczenie usług w ramach zamówienia podstawowego ani w ramach opcji .</w:t>
      </w:r>
    </w:p>
    <w:p w:rsidR="00B56AE6" w:rsidRDefault="00B56AE6" w:rsidP="00B56AE6">
      <w:pPr>
        <w:jc w:val="both"/>
        <w:rPr>
          <w:rFonts w:ascii="Verdana" w:eastAsia="Calibri" w:hAnsi="Verdana" w:cs="Calibri"/>
          <w:lang w:eastAsia="en-US"/>
        </w:rPr>
      </w:pPr>
      <w:r>
        <w:rPr>
          <w:rFonts w:ascii="Verdana" w:eastAsia="Calibri" w:hAnsi="Verdana" w:cs="Calibri"/>
          <w:b/>
          <w:lang w:eastAsia="en-US"/>
        </w:rPr>
        <w:t>Ad.2)</w:t>
      </w:r>
      <w:r>
        <w:rPr>
          <w:rFonts w:ascii="Verdana" w:eastAsia="Calibri" w:hAnsi="Verdana" w:cs="Calibri"/>
          <w:lang w:eastAsia="en-US"/>
        </w:rPr>
        <w:t xml:space="preserve"> Zamawiający nie wyraża zgody na powyższą zmianę.</w:t>
      </w:r>
    </w:p>
    <w:p w:rsidR="00B56AE6" w:rsidRPr="00B56AE6" w:rsidRDefault="00B56AE6" w:rsidP="00B56AE6">
      <w:pPr>
        <w:jc w:val="both"/>
        <w:rPr>
          <w:rFonts w:ascii="Verdana" w:eastAsia="Calibri" w:hAnsi="Verdana" w:cs="Calibri"/>
          <w:color w:val="000000"/>
          <w:lang w:eastAsia="en-US"/>
        </w:rPr>
      </w:pPr>
      <w:r w:rsidRPr="00B56AE6">
        <w:rPr>
          <w:rFonts w:ascii="Verdana" w:eastAsia="Calibri" w:hAnsi="Verdana" w:cs="Calibri"/>
          <w:b/>
          <w:color w:val="000000"/>
          <w:lang w:eastAsia="en-US"/>
        </w:rPr>
        <w:t>Ad.3)</w:t>
      </w:r>
      <w:r>
        <w:rPr>
          <w:rFonts w:ascii="Verdana" w:eastAsia="Calibri" w:hAnsi="Verdana" w:cs="Calibri"/>
          <w:color w:val="000000"/>
          <w:lang w:eastAsia="en-US"/>
        </w:rPr>
        <w:t xml:space="preserve"> </w:t>
      </w:r>
      <w:r>
        <w:rPr>
          <w:rFonts w:ascii="Verdana" w:eastAsia="Calibri" w:hAnsi="Verdana" w:cs="Calibri"/>
          <w:lang w:eastAsia="en-US"/>
        </w:rPr>
        <w:t>Zamawiający nie wyraża zgody na powyższą zmianę.</w:t>
      </w:r>
    </w:p>
    <w:p w:rsidR="00B56AE6" w:rsidRDefault="00B56AE6" w:rsidP="00B56AE6">
      <w:pPr>
        <w:jc w:val="both"/>
        <w:rPr>
          <w:rFonts w:ascii="Verdana" w:eastAsia="Calibri" w:hAnsi="Verdana" w:cs="Calibri"/>
          <w:lang w:eastAsia="en-US"/>
        </w:rPr>
      </w:pPr>
      <w:r>
        <w:rPr>
          <w:rFonts w:ascii="Verdana" w:eastAsia="Calibri" w:hAnsi="Verdana" w:cs="Calibri"/>
          <w:b/>
          <w:lang w:eastAsia="en-US"/>
        </w:rPr>
        <w:t>Ad.4)</w:t>
      </w:r>
      <w:r>
        <w:rPr>
          <w:rFonts w:ascii="Verdana" w:eastAsia="Calibri" w:hAnsi="Verdana" w:cs="Calibri"/>
          <w:lang w:eastAsia="en-US"/>
        </w:rPr>
        <w:t xml:space="preserve"> Wykonawca dostarcza billingi w wersji papierowej bezpłatnie. Billingi elektroniczne dotyczą kont klienta zgłoszonych przez Zamawiającego indywidualnym żądaniem. </w:t>
      </w:r>
    </w:p>
    <w:p w:rsidR="00B56AE6" w:rsidRPr="00B56AE6" w:rsidRDefault="00B56AE6" w:rsidP="00B56AE6">
      <w:pPr>
        <w:jc w:val="both"/>
        <w:rPr>
          <w:rFonts w:ascii="Verdana" w:eastAsia="Calibri" w:hAnsi="Verdana" w:cs="Calibri"/>
          <w:lang w:eastAsia="en-US"/>
        </w:rPr>
      </w:pPr>
      <w:r w:rsidRPr="00B56AE6">
        <w:rPr>
          <w:rFonts w:ascii="Verdana" w:eastAsia="Calibri" w:hAnsi="Verdana" w:cs="Calibri"/>
          <w:b/>
          <w:color w:val="000000"/>
          <w:lang w:eastAsia="en-US"/>
        </w:rPr>
        <w:t>Ad.5)</w:t>
      </w:r>
      <w:r w:rsidRPr="00B56AE6">
        <w:rPr>
          <w:rFonts w:ascii="Verdana" w:eastAsia="Calibri" w:hAnsi="Verdana" w:cs="Calibri"/>
          <w:color w:val="000000"/>
          <w:lang w:eastAsia="en-US"/>
        </w:rPr>
        <w:t xml:space="preserve"> </w:t>
      </w:r>
      <w:r>
        <w:rPr>
          <w:rFonts w:ascii="Verdana" w:eastAsia="Calibri" w:hAnsi="Verdana" w:cs="Calibri"/>
          <w:lang w:eastAsia="en-US"/>
        </w:rPr>
        <w:t xml:space="preserve">Wykonawca jest odpowiedzialny za kontrolowanie czy kwota brutto zamówienia jest wyczerpana i powiadomi Zamawiającego o ryzyku wykorzystania ww. kwoty z wyprzedzeniem obejmującym co najmniej 1 okres rozliczeniowy. </w:t>
      </w:r>
      <w:r w:rsidRPr="00B56AE6">
        <w:rPr>
          <w:rFonts w:ascii="Verdana" w:eastAsia="Calibri" w:hAnsi="Verdana" w:cs="Calibri"/>
          <w:bCs/>
          <w:lang w:eastAsia="en-US"/>
        </w:rPr>
        <w:t>Zmiana SIWZ zostanie wprowadzona odrębnym pismem.</w:t>
      </w:r>
    </w:p>
    <w:p w:rsidR="00B56AE6" w:rsidRDefault="00B56AE6" w:rsidP="00B56AE6">
      <w:pPr>
        <w:jc w:val="both"/>
        <w:rPr>
          <w:rFonts w:ascii="Verdana" w:eastAsia="Calibri" w:hAnsi="Verdana" w:cs="Calibri"/>
          <w:lang w:eastAsia="en-US"/>
        </w:rPr>
      </w:pPr>
      <w:r>
        <w:rPr>
          <w:rFonts w:ascii="Verdana" w:eastAsia="Calibri" w:hAnsi="Verdana" w:cs="Calibri"/>
          <w:b/>
          <w:lang w:eastAsia="en-US"/>
        </w:rPr>
        <w:t>Ad.6)</w:t>
      </w:r>
      <w:r>
        <w:rPr>
          <w:rFonts w:ascii="Verdana" w:eastAsia="Calibri" w:hAnsi="Verdana" w:cs="Calibri"/>
          <w:lang w:eastAsia="en-US"/>
        </w:rPr>
        <w:t xml:space="preserve"> Zamawiający sprecyzował wymogi w zakresie jakości obsługi operacyjnej, które podtrzymuje. </w:t>
      </w:r>
    </w:p>
    <w:p w:rsidR="00B56AE6" w:rsidRDefault="00B56AE6" w:rsidP="00B56AE6">
      <w:pPr>
        <w:jc w:val="both"/>
        <w:rPr>
          <w:rFonts w:ascii="Verdana" w:eastAsia="Calibri" w:hAnsi="Verdana" w:cs="Calibri"/>
          <w:lang w:eastAsia="en-US"/>
        </w:rPr>
      </w:pPr>
      <w:r>
        <w:rPr>
          <w:rFonts w:ascii="Verdana" w:eastAsia="Calibri" w:hAnsi="Verdana" w:cs="Calibri"/>
          <w:b/>
          <w:lang w:eastAsia="en-US"/>
        </w:rPr>
        <w:t>Ad.7)</w:t>
      </w:r>
      <w:r>
        <w:rPr>
          <w:rFonts w:ascii="Verdana" w:eastAsia="Calibri" w:hAnsi="Verdana" w:cs="Calibri"/>
          <w:lang w:eastAsia="en-US"/>
        </w:rPr>
        <w:t xml:space="preserve"> Zamawiający podtrzymuje zapisy SIWZ.</w:t>
      </w:r>
    </w:p>
    <w:p w:rsidR="00B56AE6" w:rsidRPr="00B56AE6" w:rsidRDefault="00B56AE6" w:rsidP="00B56AE6">
      <w:pPr>
        <w:jc w:val="both"/>
        <w:rPr>
          <w:rFonts w:ascii="Verdana" w:hAnsi="Verdana"/>
          <w:b/>
        </w:rPr>
      </w:pPr>
      <w:r>
        <w:rPr>
          <w:rFonts w:ascii="Verdana" w:eastAsia="Calibri" w:hAnsi="Verdana" w:cs="Calibri"/>
          <w:b/>
          <w:lang w:eastAsia="en-US"/>
        </w:rPr>
        <w:t>Ad.8)</w:t>
      </w:r>
      <w:r>
        <w:rPr>
          <w:rFonts w:ascii="Verdana" w:eastAsia="Calibri" w:hAnsi="Verdana" w:cs="Calibri"/>
          <w:lang w:eastAsia="en-US"/>
        </w:rPr>
        <w:t xml:space="preserve"> Zamawiający wyraża zgodę na przeprowadzenie cesji numeru telefonicznego na osobę prywatną według procedur ogólnych obowiązujących u Wykonawcy za uprzednią zgodą Wykonawcy.</w:t>
      </w:r>
      <w:r>
        <w:rPr>
          <w:rFonts w:ascii="Verdana" w:hAnsi="Verdana"/>
          <w:b/>
        </w:rPr>
        <w:t xml:space="preserve"> </w:t>
      </w:r>
      <w:r w:rsidRPr="00B56AE6">
        <w:rPr>
          <w:rFonts w:ascii="Verdana" w:eastAsia="Calibri" w:hAnsi="Verdana" w:cs="Calibri"/>
          <w:lang w:eastAsia="en-US"/>
        </w:rPr>
        <w:t>Powyższe zostanie wprowadzone poprzez zmianę SIWZ osobnym pismem.</w:t>
      </w:r>
    </w:p>
    <w:p w:rsidR="00B56AE6" w:rsidRPr="00B56AE6" w:rsidRDefault="00B56AE6" w:rsidP="00B56AE6">
      <w:pPr>
        <w:jc w:val="both"/>
        <w:rPr>
          <w:rFonts w:ascii="Verdana" w:eastAsia="Calibri" w:hAnsi="Verdana" w:cs="Calibri"/>
          <w:lang w:eastAsia="en-US"/>
        </w:rPr>
      </w:pPr>
      <w:r>
        <w:rPr>
          <w:rFonts w:ascii="Verdana" w:eastAsia="Calibri" w:hAnsi="Verdana" w:cs="Calibri"/>
          <w:b/>
          <w:lang w:eastAsia="en-US"/>
        </w:rPr>
        <w:t>Ad.9)</w:t>
      </w:r>
      <w:r>
        <w:rPr>
          <w:rFonts w:ascii="Verdana" w:eastAsia="Calibri" w:hAnsi="Verdana" w:cs="Calibri"/>
          <w:lang w:eastAsia="en-US"/>
        </w:rPr>
        <w:t xml:space="preserve"> Zamawiający sprecyzował wymogi w zakresie jakości obsługi operacyjnej, które podtrzymuje.</w:t>
      </w:r>
    </w:p>
    <w:p w:rsidR="00B56AE6" w:rsidRPr="00B56AE6" w:rsidRDefault="00B56AE6" w:rsidP="00B56AE6">
      <w:pPr>
        <w:jc w:val="both"/>
        <w:rPr>
          <w:rFonts w:ascii="Verdana" w:eastAsia="Calibri" w:hAnsi="Verdana" w:cs="Calibri"/>
          <w:lang w:eastAsia="en-US"/>
        </w:rPr>
      </w:pPr>
      <w:r>
        <w:rPr>
          <w:rFonts w:ascii="Verdana" w:eastAsia="Calibri" w:hAnsi="Verdana" w:cs="Calibri"/>
          <w:b/>
          <w:lang w:eastAsia="en-US"/>
        </w:rPr>
        <w:t>Ad.10)</w:t>
      </w:r>
      <w:r>
        <w:rPr>
          <w:rFonts w:ascii="Verdana" w:eastAsia="Calibri" w:hAnsi="Verdana" w:cs="Calibri"/>
          <w:lang w:eastAsia="en-US"/>
        </w:rPr>
        <w:t xml:space="preserve"> Zamawiający podtrzymuje zapisy SIWZ.</w:t>
      </w:r>
    </w:p>
    <w:p w:rsidR="00B56AE6" w:rsidRDefault="00B56AE6" w:rsidP="00B56AE6">
      <w:pPr>
        <w:jc w:val="both"/>
        <w:rPr>
          <w:rFonts w:ascii="Verdana" w:eastAsia="Calibri" w:hAnsi="Verdana" w:cs="Calibri"/>
          <w:lang w:eastAsia="en-US"/>
        </w:rPr>
      </w:pPr>
      <w:r>
        <w:rPr>
          <w:rFonts w:ascii="Verdana" w:eastAsia="Calibri" w:hAnsi="Verdana" w:cs="Calibri"/>
          <w:b/>
          <w:lang w:eastAsia="en-US"/>
        </w:rPr>
        <w:t>Ad.11)</w:t>
      </w:r>
      <w:r>
        <w:rPr>
          <w:rFonts w:ascii="Verdana" w:eastAsia="Calibri" w:hAnsi="Verdana" w:cs="Calibri"/>
          <w:lang w:eastAsia="en-US"/>
        </w:rPr>
        <w:t xml:space="preserve"> Zamawiający podtrzymuje zapisy SIWZ jednocześnie zwraca uwagę, że w załączniku szczegółowej kalkulacji cenowej, została wprowadzona pozycja dotycząca możliwości naliczania opłat w przypadku zawieszenia usług w czasie trwania umowy. </w:t>
      </w:r>
    </w:p>
    <w:p w:rsidR="00B56AE6" w:rsidRDefault="00B56AE6" w:rsidP="00B56AE6">
      <w:pPr>
        <w:jc w:val="both"/>
        <w:rPr>
          <w:rFonts w:ascii="Verdana" w:eastAsia="Calibri" w:hAnsi="Verdana" w:cs="Calibri"/>
          <w:b/>
          <w:lang w:eastAsia="en-US"/>
        </w:rPr>
      </w:pPr>
    </w:p>
    <w:p w:rsidR="00B56AE6" w:rsidRPr="00B56AE6" w:rsidRDefault="00B56AE6" w:rsidP="00B56AE6">
      <w:pPr>
        <w:jc w:val="both"/>
        <w:rPr>
          <w:rFonts w:ascii="Verdana" w:eastAsia="Calibri" w:hAnsi="Verdana" w:cs="Calibri"/>
          <w:lang w:eastAsia="en-US"/>
        </w:rPr>
      </w:pPr>
      <w:r>
        <w:rPr>
          <w:rFonts w:ascii="Verdana" w:eastAsia="Calibri" w:hAnsi="Verdana" w:cs="Calibri"/>
          <w:b/>
          <w:lang w:eastAsia="en-US"/>
        </w:rPr>
        <w:t>Ad.12)</w:t>
      </w:r>
      <w:r>
        <w:rPr>
          <w:rFonts w:ascii="Verdana" w:eastAsia="Calibri" w:hAnsi="Verdana" w:cs="Calibri"/>
          <w:lang w:eastAsia="en-US"/>
        </w:rPr>
        <w:t xml:space="preserve"> Tak. Zamawiający wyraża zgodę na doprecyzowanie zapisu dotyczącego procesu przeniesienia numeracji zgodnie z obowiązującymi w tym względzie przepisami prawa, a więc w następujący sposób: „Wykonawca dokona przeniesienia i aktywacji numerów telefonicznych przydzielonych przez dotychczasowego operatora zgodnie z art. 71 ustawy z dnia 16 lipca 2004 r. - Prawo telekomunikacyjne (Dz.U. Nr. 171, poz. 1800 z późniejszymi zmianami). Przeniesienie przydzielonego numeru telefonicznego nie może powodować przerwy w świadczeniu usług telekomunikacyjnych dłuższej niż 3 godziny, pomiędzy godziną 0:00 a godziną 3:00, zgodnie z ROZPORZĄDZENIEM MINISTRA CYFRYZACJI1 z dnia 11 grudnia 2018 r. w sprawie warunków korzystania z uprawnień w publicznych sieciach telekomunikacyjnych Dz.U z 2018 poz. 2324. § 25. </w:t>
      </w:r>
      <w:r w:rsidRPr="00B56AE6">
        <w:rPr>
          <w:rFonts w:ascii="Verdana" w:eastAsia="Calibri" w:hAnsi="Verdana" w:cs="Calibri"/>
          <w:lang w:eastAsia="en-US"/>
        </w:rPr>
        <w:t>Powyższe zostanie wprowadzone poprzez zmianę SIWZ osobnym pismem.</w:t>
      </w:r>
    </w:p>
    <w:p w:rsidR="00B56AE6" w:rsidRPr="00B56AE6" w:rsidRDefault="00B56AE6" w:rsidP="00B56AE6">
      <w:pPr>
        <w:jc w:val="both"/>
        <w:rPr>
          <w:rFonts w:ascii="Verdana" w:eastAsia="Calibri" w:hAnsi="Verdana" w:cs="Calibri"/>
          <w:lang w:eastAsia="en-US"/>
        </w:rPr>
      </w:pPr>
      <w:r>
        <w:rPr>
          <w:rFonts w:ascii="Verdana" w:eastAsia="Calibri" w:hAnsi="Verdana" w:cs="Calibri"/>
          <w:b/>
          <w:lang w:eastAsia="en-US"/>
        </w:rPr>
        <w:t>Ad.13)</w:t>
      </w:r>
      <w:r>
        <w:rPr>
          <w:rFonts w:ascii="Verdana" w:eastAsia="Calibri" w:hAnsi="Verdana" w:cs="Calibri"/>
          <w:lang w:eastAsia="en-US"/>
        </w:rPr>
        <w:t xml:space="preserve"> Powyższe zasady określa § 5 ust 6 i 7 wzoru umowy.</w:t>
      </w:r>
    </w:p>
    <w:p w:rsidR="00B56AE6" w:rsidRPr="00B56AE6" w:rsidRDefault="00B56AE6" w:rsidP="00B56AE6">
      <w:pPr>
        <w:jc w:val="both"/>
        <w:rPr>
          <w:rFonts w:ascii="Verdana" w:eastAsia="Calibri" w:hAnsi="Verdana" w:cs="Calibri"/>
          <w:lang w:eastAsia="en-US"/>
        </w:rPr>
      </w:pPr>
      <w:r>
        <w:rPr>
          <w:rFonts w:ascii="Verdana" w:eastAsia="Calibri" w:hAnsi="Verdana" w:cs="Calibri"/>
          <w:b/>
          <w:lang w:eastAsia="en-US"/>
        </w:rPr>
        <w:t>Ad.14)</w:t>
      </w:r>
      <w:r>
        <w:rPr>
          <w:rFonts w:ascii="Verdana" w:eastAsia="Calibri" w:hAnsi="Verdana" w:cs="Calibri"/>
          <w:lang w:eastAsia="en-US"/>
        </w:rPr>
        <w:t xml:space="preserve"> Zamawiający podtrzymuje zapisy SIWZ.</w:t>
      </w:r>
    </w:p>
    <w:p w:rsidR="00B56AE6" w:rsidRPr="00B56AE6" w:rsidRDefault="00B56AE6" w:rsidP="00B56AE6">
      <w:pPr>
        <w:spacing w:after="120" w:line="260" w:lineRule="atLeast"/>
        <w:contextualSpacing/>
        <w:jc w:val="both"/>
        <w:rPr>
          <w:rFonts w:ascii="Verdana" w:eastAsia="Calibri" w:hAnsi="Verdana" w:cs="Calibri"/>
          <w:lang w:eastAsia="en-US"/>
        </w:rPr>
      </w:pPr>
      <w:r>
        <w:rPr>
          <w:rFonts w:ascii="Verdana" w:eastAsia="Calibri" w:hAnsi="Verdana" w:cs="Calibri"/>
          <w:b/>
          <w:lang w:eastAsia="en-US"/>
        </w:rPr>
        <w:t>Ad.15)</w:t>
      </w:r>
      <w:r>
        <w:rPr>
          <w:rFonts w:ascii="Verdana" w:eastAsia="Calibri" w:hAnsi="Verdana" w:cs="Calibri"/>
          <w:lang w:eastAsia="en-US"/>
        </w:rPr>
        <w:t xml:space="preserve"> Zamawiający wymaga możliwości aktywacji usługi dodatkowej karty SIM która będzie posiadała ten sam numer </w:t>
      </w:r>
      <w:proofErr w:type="spellStart"/>
      <w:r>
        <w:rPr>
          <w:rFonts w:ascii="Verdana" w:eastAsia="Calibri" w:hAnsi="Verdana" w:cs="Calibri"/>
          <w:lang w:eastAsia="en-US"/>
        </w:rPr>
        <w:t>msisdn</w:t>
      </w:r>
      <w:proofErr w:type="spellEnd"/>
      <w:r>
        <w:rPr>
          <w:rFonts w:ascii="Verdana" w:eastAsia="Calibri" w:hAnsi="Verdana" w:cs="Calibri"/>
          <w:lang w:eastAsia="en-US"/>
        </w:rPr>
        <w:t xml:space="preserve"> co numer karty głównej. W przypadku zalogowania dodatkowej karty sim wszystkie połączenia głosowe będą przekierowywane na nią bez dodatkowych opłat. W chwili wyłączenia dodatkowej karty SIM wszystkie połączenia będą realizowane przez kartę główną. Karta będzie używana m.in. w samochodowych zestawach głośnomówiących. </w:t>
      </w:r>
    </w:p>
    <w:p w:rsidR="00B56AE6" w:rsidRDefault="00B56AE6" w:rsidP="00B56AE6">
      <w:pPr>
        <w:jc w:val="both"/>
        <w:rPr>
          <w:rFonts w:ascii="Verdana" w:eastAsia="Calibri" w:hAnsi="Verdana" w:cs="Calibri"/>
          <w:b/>
          <w:color w:val="FF0000"/>
          <w:lang w:eastAsia="en-US"/>
        </w:rPr>
      </w:pPr>
      <w:r>
        <w:rPr>
          <w:rFonts w:ascii="Verdana" w:eastAsia="Calibri" w:hAnsi="Verdana" w:cs="Calibri"/>
          <w:b/>
          <w:lang w:eastAsia="en-US"/>
        </w:rPr>
        <w:t>Ad.16)</w:t>
      </w:r>
      <w:r>
        <w:rPr>
          <w:rFonts w:ascii="Verdana" w:eastAsia="Calibri" w:hAnsi="Verdana" w:cs="Calibri"/>
          <w:lang w:eastAsia="en-US"/>
        </w:rPr>
        <w:t xml:space="preserve"> Zamawiający podtrzymuje zapisy SIWZ jednocześnie zaznacza, że poprzez  technologię 5G rozumie usługi aktualnie oferowane pod taką nazwą przez operatorów.   Zamawiający nie wymaga realizowania usługi 5G w oparciu o częstotliwości będące przedmiotem postępowania UKE.</w:t>
      </w:r>
    </w:p>
    <w:p w:rsidR="00B56AE6" w:rsidRPr="00B56AE6" w:rsidRDefault="00B56AE6" w:rsidP="00B56AE6">
      <w:pPr>
        <w:jc w:val="both"/>
        <w:rPr>
          <w:rFonts w:ascii="Verdana" w:hAnsi="Verdana"/>
          <w:b/>
          <w:color w:val="000000"/>
        </w:rPr>
      </w:pPr>
      <w:r>
        <w:rPr>
          <w:rFonts w:ascii="Verdana" w:eastAsia="Calibri" w:hAnsi="Verdana" w:cs="Calibri"/>
          <w:b/>
          <w:lang w:eastAsia="en-US"/>
        </w:rPr>
        <w:t>Ad.17)</w:t>
      </w:r>
      <w:r>
        <w:rPr>
          <w:rFonts w:ascii="Verdana" w:eastAsia="Calibri" w:hAnsi="Verdana" w:cs="Calibri"/>
          <w:lang w:eastAsia="en-US"/>
        </w:rPr>
        <w:t xml:space="preserve"> Wycena oferty powinna być dokonana w oparciu o Szczegółową kalkulację cenowa zał. nr 4 SIWZ</w:t>
      </w:r>
    </w:p>
    <w:p w:rsidR="00B56AE6" w:rsidRPr="00EA609C" w:rsidRDefault="00B56AE6" w:rsidP="00B56AE6">
      <w:pPr>
        <w:jc w:val="both"/>
        <w:rPr>
          <w:rFonts w:ascii="Verdana" w:hAnsi="Verdana"/>
          <w:color w:val="000000"/>
        </w:rPr>
      </w:pPr>
      <w:r w:rsidRPr="00EA609C">
        <w:rPr>
          <w:rFonts w:ascii="Verdana" w:hAnsi="Verdana"/>
          <w:color w:val="000000"/>
        </w:rPr>
        <w:t>Obecnie wykorzystywane usługi określa pkt</w:t>
      </w:r>
      <w:r w:rsidR="00EA609C" w:rsidRPr="00EA609C">
        <w:rPr>
          <w:rFonts w:ascii="Verdana" w:hAnsi="Verdana"/>
          <w:color w:val="000000"/>
        </w:rPr>
        <w:t xml:space="preserve"> 3.1.IV</w:t>
      </w:r>
      <w:r w:rsidRPr="00EA609C">
        <w:rPr>
          <w:rFonts w:ascii="Verdana" w:hAnsi="Verdana"/>
          <w:color w:val="000000"/>
        </w:rPr>
        <w:t xml:space="preserve"> SIWZ:</w:t>
      </w:r>
    </w:p>
    <w:p w:rsidR="00B56AE6" w:rsidRDefault="00B56AE6" w:rsidP="00B56AE6">
      <w:pPr>
        <w:jc w:val="both"/>
        <w:rPr>
          <w:rFonts w:ascii="Verdana" w:hAnsi="Verdana"/>
          <w:color w:val="000000"/>
        </w:rPr>
      </w:pPr>
      <w:r w:rsidRPr="00B56AE6">
        <w:rPr>
          <w:rFonts w:ascii="Verdana" w:hAnsi="Verdana"/>
          <w:color w:val="000000"/>
        </w:rPr>
        <w:t xml:space="preserve">1. Ilość usług telekomunikacyjnych wykorzystywanych przez Zamawiającego to 652 aktywacji w tym: 506 aktywacja głosowa + transmisja danych w technologii LTE i 146 aktywacji transmisji danych w technologii LTE. </w:t>
      </w:r>
    </w:p>
    <w:p w:rsidR="00B56AE6" w:rsidRPr="00B56AE6" w:rsidRDefault="00B56AE6" w:rsidP="00B56AE6">
      <w:pPr>
        <w:jc w:val="both"/>
        <w:rPr>
          <w:rFonts w:ascii="Verdana" w:hAnsi="Verdana"/>
          <w:color w:val="000000"/>
        </w:rPr>
      </w:pPr>
      <w:r w:rsidRPr="00B56AE6">
        <w:rPr>
          <w:rFonts w:ascii="Verdana" w:hAnsi="Verdana"/>
          <w:color w:val="000000"/>
        </w:rPr>
        <w:t>2. Miesięcznie Zamawiający wykorzystuje średnio 210 000 minut.</w:t>
      </w:r>
    </w:p>
    <w:p w:rsidR="00B56AE6" w:rsidRPr="00B56AE6" w:rsidRDefault="00B56AE6" w:rsidP="00B56AE6">
      <w:pPr>
        <w:jc w:val="both"/>
        <w:rPr>
          <w:rFonts w:ascii="Verdana" w:hAnsi="Verdana"/>
          <w:color w:val="000000"/>
        </w:rPr>
      </w:pPr>
      <w:r w:rsidRPr="00B56AE6">
        <w:rPr>
          <w:rFonts w:ascii="Verdana" w:hAnsi="Verdana"/>
          <w:color w:val="000000"/>
        </w:rPr>
        <w:t xml:space="preserve">3. W usłudze </w:t>
      </w:r>
      <w:proofErr w:type="spellStart"/>
      <w:r w:rsidRPr="00B56AE6">
        <w:rPr>
          <w:rFonts w:ascii="Verdana" w:hAnsi="Verdana"/>
          <w:color w:val="000000"/>
        </w:rPr>
        <w:t>konwergentnej</w:t>
      </w:r>
      <w:proofErr w:type="spellEnd"/>
      <w:r w:rsidRPr="00B56AE6">
        <w:rPr>
          <w:rFonts w:ascii="Verdana" w:hAnsi="Verdana"/>
          <w:color w:val="000000"/>
        </w:rPr>
        <w:t xml:space="preserve"> Zamawiający wykorzystuje średnio 110 000 minut.</w:t>
      </w:r>
    </w:p>
    <w:p w:rsidR="00B56AE6" w:rsidRPr="00B56AE6" w:rsidRDefault="00B56AE6" w:rsidP="00B56AE6">
      <w:pPr>
        <w:jc w:val="both"/>
        <w:rPr>
          <w:rFonts w:ascii="Verdana" w:eastAsia="Calibri" w:hAnsi="Verdana" w:cs="Calibri"/>
          <w:lang w:eastAsia="en-US"/>
        </w:rPr>
      </w:pPr>
      <w:r>
        <w:rPr>
          <w:rFonts w:ascii="Verdana" w:eastAsia="Calibri" w:hAnsi="Verdana" w:cs="Calibri"/>
          <w:b/>
          <w:lang w:eastAsia="en-US"/>
        </w:rPr>
        <w:t>Ad.18)</w:t>
      </w:r>
      <w:r>
        <w:rPr>
          <w:rFonts w:ascii="Verdana" w:eastAsia="Calibri" w:hAnsi="Verdana" w:cs="Calibri"/>
          <w:lang w:eastAsia="en-US"/>
        </w:rPr>
        <w:t xml:space="preserve"> Zamawiający wyraża zgodę na wprowadzenie proponowanego zapisu. </w:t>
      </w:r>
      <w:r w:rsidRPr="00B56AE6">
        <w:rPr>
          <w:rFonts w:ascii="Verdana" w:eastAsia="Calibri" w:hAnsi="Verdana" w:cs="Calibri"/>
          <w:lang w:eastAsia="en-US"/>
        </w:rPr>
        <w:t>Przedmiotowa zmiana zostanie wprowadzona poprzez zmianę SIWZ osobnym pismem.</w:t>
      </w:r>
    </w:p>
    <w:p w:rsidR="00B56AE6" w:rsidRDefault="00B56AE6" w:rsidP="00B56AE6">
      <w:pPr>
        <w:jc w:val="both"/>
        <w:rPr>
          <w:rFonts w:ascii="Verdana" w:eastAsia="Calibri" w:hAnsi="Verdana" w:cs="Calibri"/>
          <w:lang w:eastAsia="en-US"/>
        </w:rPr>
      </w:pPr>
      <w:r>
        <w:rPr>
          <w:rFonts w:ascii="Verdana" w:eastAsia="Calibri" w:hAnsi="Verdana" w:cs="Calibri"/>
          <w:b/>
          <w:lang w:eastAsia="en-US"/>
        </w:rPr>
        <w:t>Ad.19)</w:t>
      </w:r>
      <w:r>
        <w:rPr>
          <w:rFonts w:ascii="Verdana" w:eastAsia="Calibri" w:hAnsi="Verdana" w:cs="Calibri"/>
          <w:lang w:eastAsia="en-US"/>
        </w:rPr>
        <w:t xml:space="preserve"> Zamawiający podtrzymuje zapisy SIWZ.</w:t>
      </w:r>
    </w:p>
    <w:p w:rsidR="00B56AE6" w:rsidRDefault="00B56AE6" w:rsidP="00B56AE6">
      <w:pPr>
        <w:jc w:val="both"/>
        <w:rPr>
          <w:rFonts w:ascii="Verdana" w:eastAsia="Calibri" w:hAnsi="Verdana" w:cs="Calibri"/>
          <w:lang w:eastAsia="en-US"/>
        </w:rPr>
      </w:pPr>
      <w:r>
        <w:rPr>
          <w:rFonts w:ascii="Verdana" w:eastAsia="Calibri" w:hAnsi="Verdana" w:cs="Calibri"/>
          <w:b/>
          <w:lang w:eastAsia="en-US"/>
        </w:rPr>
        <w:t>Ad.20)</w:t>
      </w:r>
      <w:r>
        <w:rPr>
          <w:rFonts w:ascii="Verdana" w:eastAsia="Calibri" w:hAnsi="Verdana" w:cs="Calibri"/>
          <w:lang w:eastAsia="en-US"/>
        </w:rPr>
        <w:t xml:space="preserve"> Zamawiający podtrzymuje zapisy SIWZ.</w:t>
      </w:r>
    </w:p>
    <w:p w:rsidR="00B56AE6" w:rsidRDefault="00B56AE6" w:rsidP="00B56AE6">
      <w:pPr>
        <w:jc w:val="both"/>
        <w:rPr>
          <w:rFonts w:ascii="Verdana" w:eastAsia="Calibri" w:hAnsi="Verdana" w:cs="Calibri"/>
          <w:lang w:eastAsia="en-US"/>
        </w:rPr>
      </w:pPr>
      <w:r>
        <w:rPr>
          <w:rFonts w:ascii="Verdana" w:eastAsia="Calibri" w:hAnsi="Verdana" w:cs="Calibri"/>
          <w:b/>
          <w:lang w:eastAsia="en-US"/>
        </w:rPr>
        <w:t>Ad.21)</w:t>
      </w:r>
      <w:r>
        <w:rPr>
          <w:rFonts w:ascii="Verdana" w:eastAsia="Calibri" w:hAnsi="Verdana" w:cs="Calibri"/>
          <w:lang w:eastAsia="en-US"/>
        </w:rPr>
        <w:t xml:space="preserve"> </w:t>
      </w:r>
      <w:r w:rsidRPr="00B56AE6">
        <w:rPr>
          <w:rFonts w:ascii="Verdana" w:eastAsia="Calibri" w:hAnsi="Verdana" w:cs="Calibri"/>
          <w:bCs/>
          <w:lang w:eastAsia="en-US"/>
        </w:rPr>
        <w:t>W związku z zapytaniem Zamawiający wprowadza</w:t>
      </w:r>
      <w:r w:rsidR="00EA609C">
        <w:rPr>
          <w:rFonts w:ascii="Verdana" w:eastAsia="Calibri" w:hAnsi="Verdana" w:cs="Calibri"/>
          <w:bCs/>
          <w:lang w:eastAsia="en-US"/>
        </w:rPr>
        <w:t xml:space="preserve"> osobnym pismem</w:t>
      </w:r>
      <w:r w:rsidRPr="00B56AE6">
        <w:rPr>
          <w:rFonts w:ascii="Verdana" w:eastAsia="Calibri" w:hAnsi="Verdana" w:cs="Calibri"/>
          <w:bCs/>
          <w:lang w:eastAsia="en-US"/>
        </w:rPr>
        <w:t xml:space="preserve"> </w:t>
      </w:r>
      <w:r w:rsidR="00EA609C">
        <w:rPr>
          <w:rFonts w:ascii="Verdana" w:eastAsia="Calibri" w:hAnsi="Verdana" w:cs="Calibri"/>
          <w:bCs/>
          <w:lang w:eastAsia="en-US"/>
        </w:rPr>
        <w:t>nowy zapis</w:t>
      </w:r>
      <w:r w:rsidRPr="00B56AE6">
        <w:rPr>
          <w:rFonts w:ascii="Verdana" w:eastAsia="Calibri" w:hAnsi="Verdana" w:cs="Calibri"/>
          <w:bCs/>
          <w:lang w:eastAsia="en-US"/>
        </w:rPr>
        <w:t xml:space="preserve"> do SIWZ</w:t>
      </w:r>
      <w:r w:rsidR="00EA609C">
        <w:rPr>
          <w:rFonts w:ascii="Verdana" w:eastAsia="Calibri" w:hAnsi="Verdana" w:cs="Calibri"/>
          <w:bCs/>
          <w:lang w:eastAsia="en-US"/>
        </w:rPr>
        <w:t xml:space="preserve"> w pkt 3.1.VII.10.</w:t>
      </w:r>
    </w:p>
    <w:p w:rsidR="00B56AE6" w:rsidRPr="00B56AE6" w:rsidRDefault="00B56AE6" w:rsidP="00B56AE6">
      <w:pPr>
        <w:jc w:val="both"/>
        <w:rPr>
          <w:rFonts w:ascii="Verdana" w:eastAsia="Calibri" w:hAnsi="Verdana" w:cs="Calibri"/>
          <w:lang w:eastAsia="en-US"/>
        </w:rPr>
      </w:pPr>
      <w:r>
        <w:rPr>
          <w:rFonts w:ascii="Verdana" w:eastAsia="Calibri" w:hAnsi="Verdana" w:cs="Calibri"/>
          <w:b/>
          <w:lang w:eastAsia="en-US"/>
        </w:rPr>
        <w:t>Ad.22)</w:t>
      </w:r>
      <w:r>
        <w:rPr>
          <w:rFonts w:ascii="Verdana" w:eastAsia="Calibri" w:hAnsi="Verdana" w:cs="Calibri"/>
          <w:lang w:eastAsia="en-US"/>
        </w:rPr>
        <w:t xml:space="preserve"> Zamawiający skoryguje zapisy na "8nm". </w:t>
      </w:r>
      <w:r w:rsidRPr="00B56AE6">
        <w:rPr>
          <w:rFonts w:ascii="Verdana" w:eastAsia="Calibri" w:hAnsi="Verdana" w:cs="Calibri"/>
          <w:lang w:eastAsia="en-US"/>
        </w:rPr>
        <w:t>Przedmiotowa zmiana zostanie wprowadzona poprzez zmianę SIWZ osobnym pismem.</w:t>
      </w:r>
    </w:p>
    <w:p w:rsidR="00B56AE6" w:rsidRPr="00B56AE6" w:rsidRDefault="00B56AE6" w:rsidP="00B56AE6">
      <w:pPr>
        <w:jc w:val="both"/>
        <w:rPr>
          <w:rFonts w:ascii="Verdana" w:eastAsia="Calibri" w:hAnsi="Verdana" w:cs="Calibri"/>
          <w:lang w:eastAsia="en-US"/>
        </w:rPr>
      </w:pPr>
      <w:r>
        <w:rPr>
          <w:rFonts w:ascii="Verdana" w:eastAsia="Calibri" w:hAnsi="Verdana" w:cs="Calibri"/>
          <w:b/>
          <w:lang w:eastAsia="en-US"/>
        </w:rPr>
        <w:t>Ad.23)</w:t>
      </w:r>
      <w:r>
        <w:rPr>
          <w:rFonts w:ascii="Verdana" w:eastAsia="Calibri" w:hAnsi="Verdana" w:cs="Calibri"/>
          <w:lang w:eastAsia="en-US"/>
        </w:rPr>
        <w:t xml:space="preserve"> Zamawiający potwierdza, że pierwsza dostawa sprzętu odbędzie się jednym zamówieniem, pod jeden wskazany adres i do jednej wskazanej przez Zamawiającego jako kontakt dla kuriera osoby i Zamawiający we własnym zakresie rozdystrybuuje sprzęt do poszczególnych jednostek.</w:t>
      </w:r>
    </w:p>
    <w:p w:rsidR="00B56AE6" w:rsidRPr="00B56AE6" w:rsidRDefault="00B56AE6" w:rsidP="00B56AE6">
      <w:pPr>
        <w:jc w:val="both"/>
        <w:rPr>
          <w:rFonts w:ascii="Verdana" w:eastAsia="Calibri" w:hAnsi="Verdana" w:cs="Calibri"/>
          <w:lang w:eastAsia="en-US"/>
        </w:rPr>
      </w:pPr>
      <w:r>
        <w:rPr>
          <w:rFonts w:ascii="Verdana" w:eastAsia="Calibri" w:hAnsi="Verdana" w:cs="Calibri"/>
          <w:b/>
          <w:lang w:eastAsia="en-US"/>
        </w:rPr>
        <w:t>Ad.24)</w:t>
      </w:r>
      <w:r>
        <w:rPr>
          <w:rFonts w:ascii="Verdana" w:eastAsia="Calibri" w:hAnsi="Verdana" w:cs="Calibri"/>
          <w:lang w:eastAsia="en-US"/>
        </w:rPr>
        <w:t xml:space="preserve"> Urządzenia zostały opisane w załączniku nr 5 do SIWZ.</w:t>
      </w:r>
    </w:p>
    <w:p w:rsidR="00B56AE6" w:rsidRDefault="00B56AE6" w:rsidP="00B56AE6">
      <w:pPr>
        <w:spacing w:after="120" w:line="260" w:lineRule="atLeast"/>
        <w:contextualSpacing/>
        <w:jc w:val="both"/>
        <w:rPr>
          <w:rFonts w:ascii="Verdana" w:eastAsia="Calibri" w:hAnsi="Verdana" w:cs="Calibri"/>
          <w:lang w:eastAsia="en-US"/>
        </w:rPr>
      </w:pPr>
      <w:r>
        <w:rPr>
          <w:rFonts w:ascii="Verdana" w:eastAsia="Calibri" w:hAnsi="Verdana" w:cs="Calibri"/>
          <w:b/>
          <w:lang w:eastAsia="en-US"/>
        </w:rPr>
        <w:t>Ad.25)</w:t>
      </w:r>
      <w:r>
        <w:rPr>
          <w:rFonts w:ascii="Verdana" w:eastAsia="Calibri" w:hAnsi="Verdana" w:cs="Calibri"/>
          <w:lang w:eastAsia="en-US"/>
        </w:rPr>
        <w:t xml:space="preserve"> Ewentualne zmiany sprzętu w czasie trwania umowy zostały wskazane w pkt </w:t>
      </w:r>
      <w:r w:rsidR="00EA609C">
        <w:rPr>
          <w:rFonts w:ascii="Verdana" w:eastAsia="Calibri" w:hAnsi="Verdana" w:cs="Calibri"/>
          <w:lang w:eastAsia="en-US"/>
        </w:rPr>
        <w:t>3.1.</w:t>
      </w:r>
      <w:r>
        <w:rPr>
          <w:rFonts w:ascii="Verdana" w:eastAsia="Calibri" w:hAnsi="Verdana" w:cs="Calibri"/>
          <w:lang w:eastAsia="en-US"/>
        </w:rPr>
        <w:t xml:space="preserve">VII </w:t>
      </w:r>
      <w:proofErr w:type="spellStart"/>
      <w:r>
        <w:rPr>
          <w:rFonts w:ascii="Verdana" w:eastAsia="Calibri" w:hAnsi="Verdana" w:cs="Calibri"/>
          <w:lang w:eastAsia="en-US"/>
        </w:rPr>
        <w:t>ppkt</w:t>
      </w:r>
      <w:proofErr w:type="spellEnd"/>
      <w:r>
        <w:rPr>
          <w:rFonts w:ascii="Verdana" w:eastAsia="Calibri" w:hAnsi="Verdana" w:cs="Calibri"/>
          <w:lang w:eastAsia="en-US"/>
        </w:rPr>
        <w:t xml:space="preserve"> 5 </w:t>
      </w:r>
      <w:r w:rsidR="00EA609C">
        <w:rPr>
          <w:rFonts w:ascii="Verdana" w:eastAsia="Calibri" w:hAnsi="Verdana" w:cs="Calibri"/>
          <w:lang w:eastAsia="en-US"/>
        </w:rPr>
        <w:t>SIWZ</w:t>
      </w:r>
      <w:r>
        <w:rPr>
          <w:rFonts w:ascii="Verdana" w:eastAsia="Calibri" w:hAnsi="Verdana" w:cs="Calibri"/>
          <w:lang w:eastAsia="en-US"/>
        </w:rPr>
        <w:t>.</w:t>
      </w:r>
    </w:p>
    <w:p w:rsidR="00B56AE6" w:rsidRDefault="00B56AE6" w:rsidP="00B56AE6">
      <w:pPr>
        <w:jc w:val="both"/>
        <w:rPr>
          <w:rFonts w:ascii="Verdana" w:eastAsia="Calibri" w:hAnsi="Verdana" w:cs="Calibri"/>
          <w:lang w:eastAsia="en-US"/>
        </w:rPr>
      </w:pPr>
      <w:r>
        <w:rPr>
          <w:rFonts w:ascii="Verdana" w:eastAsia="Calibri" w:hAnsi="Verdana" w:cs="Calibri"/>
          <w:b/>
          <w:lang w:eastAsia="en-US"/>
        </w:rPr>
        <w:t>Ad.26)</w:t>
      </w:r>
      <w:r>
        <w:rPr>
          <w:rFonts w:ascii="Verdana" w:eastAsia="Calibri" w:hAnsi="Verdana" w:cs="Calibri"/>
          <w:lang w:eastAsia="en-US"/>
        </w:rPr>
        <w:t xml:space="preserve"> Czas jest liczony od pierwszego dnia roboczego kiedy został złożony wniosek o naprawę.</w:t>
      </w:r>
    </w:p>
    <w:p w:rsidR="00B56AE6" w:rsidRDefault="00B56AE6" w:rsidP="00B56AE6">
      <w:pPr>
        <w:jc w:val="both"/>
        <w:rPr>
          <w:rFonts w:ascii="Verdana" w:eastAsia="Calibri" w:hAnsi="Verdana" w:cs="Calibri"/>
          <w:lang w:eastAsia="en-US"/>
        </w:rPr>
      </w:pPr>
      <w:r>
        <w:rPr>
          <w:rFonts w:ascii="Verdana" w:eastAsia="Calibri" w:hAnsi="Verdana" w:cs="Calibri"/>
          <w:b/>
          <w:lang w:eastAsia="en-US"/>
        </w:rPr>
        <w:t>Ad.27)</w:t>
      </w:r>
      <w:r>
        <w:rPr>
          <w:rFonts w:ascii="Verdana" w:eastAsia="Calibri" w:hAnsi="Verdana" w:cs="Calibri"/>
          <w:lang w:eastAsia="en-US"/>
        </w:rPr>
        <w:t xml:space="preserve"> Zamawiający wymaga otrzymania narzędzia z funkcjonalnością dzięki której może otrzymywać potwierdzenie dostarczenia przez Wykonawcę </w:t>
      </w:r>
      <w:proofErr w:type="spellStart"/>
      <w:r>
        <w:rPr>
          <w:rFonts w:ascii="Verdana" w:eastAsia="Calibri" w:hAnsi="Verdana" w:cs="Calibri"/>
          <w:lang w:eastAsia="en-US"/>
        </w:rPr>
        <w:t>SMSa</w:t>
      </w:r>
      <w:proofErr w:type="spellEnd"/>
      <w:r>
        <w:rPr>
          <w:rFonts w:ascii="Verdana" w:eastAsia="Calibri" w:hAnsi="Verdana" w:cs="Calibri"/>
          <w:lang w:eastAsia="en-US"/>
        </w:rPr>
        <w:t xml:space="preserve"> / </w:t>
      </w:r>
      <w:proofErr w:type="spellStart"/>
      <w:r>
        <w:rPr>
          <w:rFonts w:ascii="Verdana" w:eastAsia="Calibri" w:hAnsi="Verdana" w:cs="Calibri"/>
          <w:lang w:eastAsia="en-US"/>
        </w:rPr>
        <w:t>MMSa</w:t>
      </w:r>
      <w:proofErr w:type="spellEnd"/>
      <w:r>
        <w:rPr>
          <w:rFonts w:ascii="Verdana" w:eastAsia="Calibri" w:hAnsi="Verdana" w:cs="Calibri"/>
          <w:lang w:eastAsia="en-US"/>
        </w:rPr>
        <w:t xml:space="preserve"> do odbiorcy końcowego. Nie jest to związane z otrzymywaniem zwrotnej wiadomości od odbiorcy (Zamawiający nie oczekuje potwierdzenia przeczytania a prawidłowego dostarczenia). W szczególności ma to pozwolić na uzyskanie informacji o niedostarczonych wiadomości np. w przypadku wyłączonego telefonu lub przebywania poza zasięgiem.</w:t>
      </w:r>
    </w:p>
    <w:p w:rsidR="00B56AE6" w:rsidRPr="00B56AE6" w:rsidRDefault="00B56AE6" w:rsidP="00B56AE6">
      <w:pPr>
        <w:jc w:val="both"/>
        <w:rPr>
          <w:rFonts w:ascii="Verdana" w:eastAsia="Calibri" w:hAnsi="Verdana" w:cs="Calibri"/>
          <w:color w:val="000000"/>
          <w:lang w:eastAsia="en-US"/>
        </w:rPr>
      </w:pPr>
      <w:r w:rsidRPr="00B56AE6">
        <w:rPr>
          <w:rFonts w:ascii="Verdana" w:eastAsia="Calibri" w:hAnsi="Verdana" w:cs="Calibri"/>
          <w:b/>
          <w:color w:val="000000"/>
          <w:lang w:eastAsia="en-US"/>
        </w:rPr>
        <w:t>Ad.28)</w:t>
      </w:r>
      <w:r w:rsidRPr="00B56AE6">
        <w:rPr>
          <w:rFonts w:ascii="Verdana" w:eastAsia="Calibri" w:hAnsi="Verdana" w:cs="Calibri"/>
          <w:color w:val="000000"/>
          <w:lang w:eastAsia="en-US"/>
        </w:rPr>
        <w:t xml:space="preserve"> Zamawiający potwierdza.</w:t>
      </w:r>
    </w:p>
    <w:p w:rsidR="00B56AE6" w:rsidRPr="00B56AE6" w:rsidRDefault="00B56AE6" w:rsidP="00B56AE6">
      <w:pPr>
        <w:jc w:val="both"/>
        <w:rPr>
          <w:rFonts w:ascii="Verdana" w:eastAsia="Calibri" w:hAnsi="Verdana" w:cs="Calibri"/>
          <w:bCs/>
          <w:color w:val="000000"/>
          <w:lang w:eastAsia="en-US"/>
        </w:rPr>
      </w:pPr>
      <w:r>
        <w:rPr>
          <w:rFonts w:ascii="Verdana" w:eastAsia="Calibri" w:hAnsi="Verdana" w:cs="Calibri"/>
          <w:b/>
          <w:lang w:eastAsia="en-US"/>
        </w:rPr>
        <w:t>Ad.29</w:t>
      </w:r>
      <w:r w:rsidRPr="00B56AE6">
        <w:rPr>
          <w:rFonts w:ascii="Verdana" w:eastAsia="Calibri" w:hAnsi="Verdana" w:cs="Calibri"/>
          <w:b/>
          <w:color w:val="000000"/>
          <w:lang w:eastAsia="en-US"/>
        </w:rPr>
        <w:t>)</w:t>
      </w:r>
      <w:r w:rsidRPr="00B56AE6">
        <w:rPr>
          <w:rFonts w:ascii="Verdana" w:eastAsia="Calibri" w:hAnsi="Verdana" w:cs="Calibri"/>
          <w:color w:val="000000"/>
          <w:lang w:eastAsia="en-US"/>
        </w:rPr>
        <w:t xml:space="preserve"> </w:t>
      </w:r>
      <w:r w:rsidRPr="00B56AE6">
        <w:rPr>
          <w:rFonts w:ascii="Verdana" w:eastAsia="Calibri" w:hAnsi="Verdana" w:cs="Calibri"/>
          <w:bCs/>
          <w:color w:val="000000"/>
          <w:lang w:eastAsia="en-US"/>
        </w:rPr>
        <w:t>Zamawiający nie wyraża zgody na zmianę w powyższym zakresie.</w:t>
      </w:r>
    </w:p>
    <w:p w:rsidR="00B56AE6" w:rsidRPr="00B56AE6" w:rsidRDefault="00B56AE6" w:rsidP="00B56AE6">
      <w:pPr>
        <w:jc w:val="both"/>
        <w:rPr>
          <w:rFonts w:ascii="Verdana" w:hAnsi="Verdana"/>
          <w:i/>
          <w:color w:val="000000"/>
        </w:rPr>
      </w:pPr>
      <w:r w:rsidRPr="00B56AE6">
        <w:rPr>
          <w:rFonts w:ascii="Verdana" w:eastAsia="Calibri" w:hAnsi="Verdana" w:cs="Calibri"/>
          <w:b/>
          <w:color w:val="000000"/>
          <w:lang w:eastAsia="en-US"/>
        </w:rPr>
        <w:t xml:space="preserve">Ad.30) </w:t>
      </w:r>
      <w:r w:rsidRPr="00B56AE6">
        <w:rPr>
          <w:rFonts w:ascii="Verdana" w:eastAsia="Calibri" w:hAnsi="Verdana" w:cs="Calibri"/>
          <w:color w:val="000000"/>
          <w:lang w:eastAsia="en-US"/>
        </w:rPr>
        <w:t>W zakresie</w:t>
      </w:r>
      <w:r w:rsidRPr="00B56AE6">
        <w:rPr>
          <w:rFonts w:ascii="Verdana" w:eastAsia="Calibri" w:hAnsi="Verdana" w:cs="Calibri"/>
          <w:b/>
          <w:color w:val="000000"/>
          <w:lang w:eastAsia="en-US"/>
        </w:rPr>
        <w:t xml:space="preserve"> </w:t>
      </w:r>
      <w:r>
        <w:rPr>
          <w:rFonts w:ascii="Verdana" w:eastAsia="Calibri" w:hAnsi="Verdana" w:cs="Calibri"/>
          <w:lang w:eastAsia="en-US"/>
        </w:rPr>
        <w:t>§ 5 ust. 5 Wzoru umowy, Zamawiający pozostawia dotychczasowe zapisy bez zmian. W zakresie maksymalnej wysokości kar umownych,</w:t>
      </w:r>
      <w:r w:rsidRPr="00B56AE6">
        <w:rPr>
          <w:rFonts w:ascii="Verdana" w:eastAsia="Calibri" w:hAnsi="Verdana" w:cs="Calibri"/>
          <w:color w:val="000000"/>
          <w:lang w:eastAsia="en-US"/>
        </w:rPr>
        <w:t xml:space="preserve"> </w:t>
      </w:r>
      <w:r w:rsidRPr="00B56AE6">
        <w:rPr>
          <w:rFonts w:ascii="Helvetica" w:hAnsi="Helvetica" w:cs="Helvetica"/>
          <w:color w:val="000000"/>
        </w:rPr>
        <w:t>Zamawiający dokona zmiany Wzoru umowy osobnym pismem.</w:t>
      </w:r>
    </w:p>
    <w:p w:rsidR="00B56AE6" w:rsidRDefault="00B56AE6" w:rsidP="00B56AE6">
      <w:pPr>
        <w:pStyle w:val="Tekstpodstawowy"/>
        <w:ind w:firstLine="423"/>
        <w:jc w:val="right"/>
        <w:rPr>
          <w:rFonts w:ascii="Verdana" w:hAnsi="Verdana"/>
          <w:sz w:val="20"/>
        </w:rPr>
      </w:pPr>
    </w:p>
    <w:p w:rsidR="00943AEF" w:rsidRPr="006F087A" w:rsidRDefault="00943AEF" w:rsidP="00B56AE6">
      <w:pPr>
        <w:pStyle w:val="Tekstpodstawowy"/>
        <w:rPr>
          <w:rFonts w:ascii="Verdana" w:hAnsi="Verdana"/>
          <w:sz w:val="20"/>
        </w:rPr>
      </w:pPr>
    </w:p>
    <w:sectPr w:rsidR="00943AEF" w:rsidRPr="006F087A" w:rsidSect="00347E12">
      <w:headerReference w:type="even" r:id="rId8"/>
      <w:headerReference w:type="default" r:id="rId9"/>
      <w:footerReference w:type="even" r:id="rId10"/>
      <w:footerReference w:type="default" r:id="rId11"/>
      <w:headerReference w:type="first" r:id="rId12"/>
      <w:footerReference w:type="first" r:id="rId13"/>
      <w:pgSz w:w="11906" w:h="16838" w:code="9"/>
      <w:pgMar w:top="2835" w:right="1134" w:bottom="1701" w:left="3345" w:header="544"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5E7D" w:rsidRDefault="00575E7D">
      <w:r>
        <w:separator/>
      </w:r>
    </w:p>
  </w:endnote>
  <w:endnote w:type="continuationSeparator" w:id="0">
    <w:p w:rsidR="00575E7D" w:rsidRDefault="00575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Helvetica 55 Roman">
    <w:altName w:val="Arial"/>
    <w:charset w:val="EE"/>
    <w:family w:val="swiss"/>
    <w:pitch w:val="variable"/>
    <w:sig w:usb0="00000001" w:usb1="5000204A" w:usb2="00000000" w:usb3="00000000" w:csb0="0000009F" w:csb1="00000000"/>
  </w:font>
  <w:font w:name="Helvetica">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AB3" w:rsidRDefault="00DD2AB3" w:rsidP="00DD2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D2AB3" w:rsidRDefault="00DD2AB3" w:rsidP="00DD2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AB3" w:rsidRDefault="00DD2AB3" w:rsidP="009F4EC1">
    <w:pPr>
      <w:pStyle w:val="Stopka"/>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E12" w:rsidRDefault="00347E12" w:rsidP="00347E12">
    <w:pPr>
      <w:pStyle w:val="Stopka"/>
      <w:rPr>
        <w:rFonts w:ascii="Verdana" w:hAnsi="Verdana" w:cs="Arial"/>
        <w:b/>
        <w:sz w:val="14"/>
        <w:szCs w:val="14"/>
      </w:rPr>
    </w:pPr>
    <w:r w:rsidRPr="00633BD9">
      <w:rPr>
        <w:rFonts w:ascii="Verdana" w:hAnsi="Verdana" w:cs="Arial"/>
        <w:b/>
        <w:sz w:val="14"/>
        <w:szCs w:val="14"/>
      </w:rPr>
      <w:t>Akademia Górniczo–Hutnicza |</w:t>
    </w:r>
    <w:r w:rsidR="00FC588B">
      <w:rPr>
        <w:rFonts w:ascii="Verdana" w:hAnsi="Verdana" w:cs="Arial"/>
        <w:b/>
        <w:sz w:val="14"/>
        <w:szCs w:val="14"/>
      </w:rPr>
      <w:t xml:space="preserve">Pion </w:t>
    </w:r>
    <w:r>
      <w:rPr>
        <w:rFonts w:ascii="Verdana" w:hAnsi="Verdana" w:cs="Arial"/>
        <w:b/>
        <w:sz w:val="14"/>
        <w:szCs w:val="14"/>
      </w:rPr>
      <w:t>Kanclerz</w:t>
    </w:r>
    <w:r w:rsidR="00FC588B">
      <w:rPr>
        <w:rFonts w:ascii="Verdana" w:hAnsi="Verdana" w:cs="Arial"/>
        <w:b/>
        <w:sz w:val="14"/>
        <w:szCs w:val="14"/>
      </w:rPr>
      <w:t>a</w:t>
    </w:r>
    <w:r>
      <w:rPr>
        <w:rFonts w:ascii="Verdana" w:hAnsi="Verdana" w:cs="Arial"/>
        <w:b/>
        <w:sz w:val="14"/>
        <w:szCs w:val="14"/>
      </w:rPr>
      <w:t xml:space="preserve">, </w:t>
    </w:r>
    <w:r w:rsidRPr="00633BD9">
      <w:rPr>
        <w:rFonts w:ascii="Verdana" w:hAnsi="Verdana" w:cs="Arial"/>
        <w:b/>
        <w:sz w:val="14"/>
        <w:szCs w:val="14"/>
      </w:rPr>
      <w:t xml:space="preserve">Dział Zamówień </w:t>
    </w:r>
    <w:r>
      <w:rPr>
        <w:rFonts w:ascii="Verdana" w:hAnsi="Verdana" w:cs="Arial"/>
        <w:b/>
        <w:sz w:val="14"/>
        <w:szCs w:val="14"/>
      </w:rPr>
      <w:t>Publicznych</w:t>
    </w:r>
  </w:p>
  <w:p w:rsidR="00347E12" w:rsidRDefault="00347E12" w:rsidP="009B3CE0">
    <w:pPr>
      <w:pStyle w:val="Stopka"/>
      <w:ind w:left="-1985"/>
      <w:rPr>
        <w:rFonts w:ascii="Verdana" w:hAnsi="Verdana" w:cs="Arial"/>
        <w:sz w:val="14"/>
        <w:szCs w:val="14"/>
      </w:rPr>
    </w:pPr>
  </w:p>
  <w:p w:rsidR="00347E12" w:rsidRPr="00633BD9" w:rsidRDefault="00347E12" w:rsidP="00347E12">
    <w:pPr>
      <w:pStyle w:val="Stopka"/>
      <w:rPr>
        <w:rFonts w:ascii="Verdana" w:hAnsi="Verdana" w:cs="Arial"/>
        <w:sz w:val="14"/>
        <w:szCs w:val="14"/>
        <w:lang w:val="de-DE"/>
      </w:rPr>
    </w:pPr>
    <w:r w:rsidRPr="00633BD9">
      <w:rPr>
        <w:rFonts w:ascii="Verdana" w:hAnsi="Verdana" w:cs="Arial"/>
        <w:sz w:val="14"/>
        <w:szCs w:val="14"/>
      </w:rPr>
      <w:t xml:space="preserve">al. A. Mickiewicza 30, 30–059 Kraków, tel. </w:t>
    </w:r>
    <w:r w:rsidRPr="00633BD9">
      <w:rPr>
        <w:rFonts w:ascii="Verdana" w:hAnsi="Verdana" w:cs="Arial"/>
        <w:sz w:val="14"/>
        <w:szCs w:val="14"/>
        <w:lang w:val="de-DE"/>
      </w:rPr>
      <w:t>+48 12 617 35 95, fax +48 12 617 35 95</w:t>
    </w:r>
  </w:p>
  <w:p w:rsidR="00347E12" w:rsidRPr="00633BD9" w:rsidRDefault="00347E12" w:rsidP="00347E12">
    <w:pPr>
      <w:pStyle w:val="Stopka"/>
      <w:rPr>
        <w:rFonts w:ascii="Verdana" w:hAnsi="Verdana"/>
        <w:sz w:val="14"/>
        <w:szCs w:val="14"/>
        <w:lang w:val="de-DE"/>
      </w:rPr>
    </w:pPr>
    <w:r w:rsidRPr="00633BD9">
      <w:rPr>
        <w:rFonts w:ascii="Verdana" w:hAnsi="Verdana"/>
        <w:sz w:val="14"/>
        <w:szCs w:val="14"/>
        <w:lang w:val="de-DE"/>
      </w:rPr>
      <w:t xml:space="preserve">e–mail: dzp@agh.edu.pl, www.dzp.agh.edu.pl </w:t>
    </w:r>
  </w:p>
  <w:p w:rsidR="00347E12" w:rsidRPr="00633BD9" w:rsidRDefault="00347E12" w:rsidP="00347E12">
    <w:pPr>
      <w:pStyle w:val="Stopka"/>
      <w:rPr>
        <w:rFonts w:ascii="Verdana" w:hAnsi="Verdana"/>
        <w:sz w:val="14"/>
        <w:szCs w:val="14"/>
      </w:rPr>
    </w:pPr>
    <w:r w:rsidRPr="00633BD9">
      <w:rPr>
        <w:rFonts w:ascii="Verdana" w:hAnsi="Verdana"/>
        <w:sz w:val="14"/>
        <w:szCs w:val="14"/>
      </w:rPr>
      <w:t>Nr rachunku PEKAO S.A. 96 1240 4722 1111 0000 4858 2922</w:t>
    </w:r>
  </w:p>
  <w:p w:rsidR="00347E12" w:rsidRPr="00633BD9" w:rsidRDefault="00347E12" w:rsidP="00347E12">
    <w:pPr>
      <w:pStyle w:val="Stopka"/>
      <w:rPr>
        <w:rFonts w:ascii="Verdana" w:hAnsi="Verdana"/>
        <w:sz w:val="14"/>
        <w:szCs w:val="14"/>
      </w:rPr>
    </w:pPr>
    <w:r w:rsidRPr="00633BD9">
      <w:rPr>
        <w:rFonts w:ascii="Verdana" w:hAnsi="Verdana"/>
        <w:sz w:val="14"/>
        <w:szCs w:val="14"/>
      </w:rPr>
      <w:t>REGON 00</w:t>
    </w:r>
    <w:r w:rsidR="00130D1C">
      <w:rPr>
        <w:rFonts w:ascii="Verdana" w:hAnsi="Verdana"/>
        <w:sz w:val="14"/>
        <w:szCs w:val="14"/>
      </w:rPr>
      <w:t>0</w:t>
    </w:r>
    <w:r w:rsidRPr="00633BD9">
      <w:rPr>
        <w:rFonts w:ascii="Verdana" w:hAnsi="Verdana"/>
        <w:sz w:val="14"/>
        <w:szCs w:val="14"/>
      </w:rPr>
      <w:t>001577, NIP 6750001923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5E7D" w:rsidRDefault="00575E7D">
      <w:r>
        <w:separator/>
      </w:r>
    </w:p>
  </w:footnote>
  <w:footnote w:type="continuationSeparator" w:id="0">
    <w:p w:rsidR="00575E7D" w:rsidRDefault="00575E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3A6" w:rsidRDefault="004C53A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AEF" w:rsidRDefault="00F01E91" w:rsidP="00943AEF">
    <w:pPr>
      <w:pStyle w:val="Nagwek"/>
      <w:tabs>
        <w:tab w:val="clear" w:pos="4536"/>
        <w:tab w:val="clear" w:pos="9072"/>
        <w:tab w:val="left" w:pos="1980"/>
      </w:tabs>
      <w:ind w:hanging="15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80.25pt">
          <v:imagedata r:id="rId1" o:title="logo agh oryginal"/>
        </v:shape>
      </w:pict>
    </w:r>
    <w:r w:rsidR="00943AEF">
      <w:tab/>
    </w:r>
  </w:p>
  <w:p w:rsidR="00943AEF" w:rsidRDefault="00943AEF" w:rsidP="00943AEF">
    <w:pPr>
      <w:pStyle w:val="Nagwek"/>
      <w:tabs>
        <w:tab w:val="clear" w:pos="4536"/>
        <w:tab w:val="clear" w:pos="9072"/>
        <w:tab w:val="left" w:pos="1980"/>
      </w:tabs>
      <w:ind w:hanging="1560"/>
    </w:pPr>
  </w:p>
  <w:p w:rsidR="00943AEF" w:rsidRPr="00943AEF" w:rsidRDefault="00943AEF" w:rsidP="00943AEF">
    <w:pPr>
      <w:pStyle w:val="Nagwek"/>
      <w:tabs>
        <w:tab w:val="clear" w:pos="4536"/>
        <w:tab w:val="clear" w:pos="9072"/>
        <w:tab w:val="left" w:pos="1980"/>
      </w:tabs>
      <w:ind w:hanging="1560"/>
      <w:rPr>
        <w:sz w:val="2"/>
        <w:szCs w:val="2"/>
      </w:rPr>
    </w:pPr>
  </w:p>
  <w:p w:rsidR="00347E12" w:rsidRDefault="00943AEF" w:rsidP="00943AEF">
    <w:pPr>
      <w:pStyle w:val="Nagwek"/>
      <w:tabs>
        <w:tab w:val="clear" w:pos="4536"/>
        <w:tab w:val="clear" w:pos="9072"/>
        <w:tab w:val="left" w:pos="1980"/>
      </w:tabs>
      <w:ind w:hanging="1560"/>
    </w:pPr>
    <w:r>
      <w:tab/>
    </w:r>
  </w:p>
  <w:p w:rsidR="00943AEF" w:rsidRPr="00943AEF" w:rsidRDefault="00943AEF" w:rsidP="00943AEF">
    <w:pPr>
      <w:pStyle w:val="Nagwek"/>
      <w:tabs>
        <w:tab w:val="clear" w:pos="4536"/>
        <w:tab w:val="clear" w:pos="9072"/>
        <w:tab w:val="left" w:pos="1980"/>
      </w:tabs>
      <w:ind w:hanging="1560"/>
      <w:rPr>
        <w:rFonts w:ascii="Verdana" w:hAnsi="Verdana"/>
        <w:sz w:val="2"/>
        <w:szCs w:val="2"/>
      </w:rPr>
    </w:pPr>
  </w:p>
  <w:p w:rsidR="00347E12" w:rsidRPr="001001FE" w:rsidRDefault="00347E12" w:rsidP="00347E12">
    <w:pPr>
      <w:pStyle w:val="Nagwek"/>
      <w:tabs>
        <w:tab w:val="right" w:pos="7371"/>
      </w:tabs>
      <w:rPr>
        <w:rFonts w:ascii="Verdana" w:hAnsi="Verdana"/>
        <w:sz w:val="16"/>
        <w:szCs w:val="16"/>
      </w:rPr>
    </w:pPr>
  </w:p>
  <w:p w:rsidR="00347E12" w:rsidRDefault="00347E1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E12" w:rsidRDefault="00F01E91" w:rsidP="00347E12">
    <w:pPr>
      <w:pStyle w:val="Nagwek"/>
      <w:tabs>
        <w:tab w:val="clear" w:pos="9072"/>
        <w:tab w:val="right" w:pos="7371"/>
      </w:tabs>
      <w:ind w:hanging="1456"/>
      <w:rPr>
        <w:rFonts w:ascii="Verdana" w:hAnsi="Verdana"/>
        <w:noProof/>
        <w:sz w:val="26"/>
        <w:szCs w:val="26"/>
      </w:rPr>
    </w:pPr>
    <w:r>
      <w:rPr>
        <w:rFonts w:ascii="Verdana" w:hAnsi="Verdana"/>
        <w:noProof/>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6" type="#_x0000_t75" style="width:209.25pt;height:107.25pt;visibility:visible">
          <v:imagedata r:id="rId1" o:title="logo agh firmówka"/>
        </v:shape>
      </w:pict>
    </w:r>
  </w:p>
  <w:p w:rsidR="00347E12" w:rsidRDefault="00347E12" w:rsidP="00347E12">
    <w:pPr>
      <w:pStyle w:val="Nagwek"/>
      <w:tabs>
        <w:tab w:val="clear" w:pos="9072"/>
        <w:tab w:val="right" w:pos="7371"/>
      </w:tabs>
      <w:ind w:hanging="1560"/>
      <w:rPr>
        <w:rFonts w:ascii="Verdana" w:hAnsi="Verdana"/>
        <w:noProof/>
        <w:sz w:val="26"/>
        <w:szCs w:val="26"/>
      </w:rPr>
    </w:pPr>
  </w:p>
  <w:p w:rsidR="00347E12" w:rsidRDefault="00130D1C" w:rsidP="00347E12">
    <w:pPr>
      <w:pStyle w:val="Nagwek"/>
      <w:tabs>
        <w:tab w:val="clear" w:pos="9072"/>
        <w:tab w:val="right" w:pos="7371"/>
      </w:tabs>
      <w:rPr>
        <w:rFonts w:ascii="Verdana" w:hAnsi="Verdana"/>
        <w:sz w:val="26"/>
        <w:szCs w:val="26"/>
      </w:rPr>
    </w:pPr>
    <w:r>
      <w:rPr>
        <w:rFonts w:ascii="Verdana" w:hAnsi="Verdana"/>
        <w:sz w:val="26"/>
        <w:szCs w:val="26"/>
      </w:rPr>
      <w:t>Pion K</w:t>
    </w:r>
    <w:r w:rsidR="00347E12">
      <w:rPr>
        <w:rFonts w:ascii="Verdana" w:hAnsi="Verdana"/>
        <w:sz w:val="26"/>
        <w:szCs w:val="26"/>
      </w:rPr>
      <w:t>anclerz</w:t>
    </w:r>
    <w:r>
      <w:rPr>
        <w:rFonts w:ascii="Verdana" w:hAnsi="Verdana"/>
        <w:sz w:val="26"/>
        <w:szCs w:val="26"/>
      </w:rPr>
      <w:t>a</w:t>
    </w:r>
  </w:p>
  <w:p w:rsidR="00347E12" w:rsidRPr="007D0E69" w:rsidRDefault="00347E12" w:rsidP="00347E12">
    <w:pPr>
      <w:pStyle w:val="Nagwek"/>
      <w:tabs>
        <w:tab w:val="clear" w:pos="9072"/>
        <w:tab w:val="right" w:pos="7371"/>
      </w:tabs>
      <w:rPr>
        <w:rFonts w:ascii="Verdana" w:hAnsi="Verdana"/>
        <w:sz w:val="26"/>
        <w:szCs w:val="26"/>
      </w:rPr>
    </w:pPr>
    <w:r>
      <w:rPr>
        <w:rFonts w:ascii="Verdana" w:hAnsi="Verdana"/>
        <w:sz w:val="26"/>
        <w:szCs w:val="26"/>
      </w:rPr>
      <w:t>Dział Zamówień Publicznych</w:t>
    </w: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61472E" w:rsidRPr="00130D1C" w:rsidRDefault="0061472E">
    <w:pPr>
      <w:pStyle w:val="Nagwek"/>
      <w:rPr>
        <w:rFonts w:ascii="Arial" w:hAnsi="Arial"/>
        <w:color w:val="000000"/>
        <w:sz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005180"/>
    <w:multiLevelType w:val="hybridMultilevel"/>
    <w:tmpl w:val="F3628C5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474E4C26"/>
    <w:multiLevelType w:val="hybridMultilevel"/>
    <w:tmpl w:val="F3628C5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1433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5E7D"/>
    <w:rsid w:val="000607BF"/>
    <w:rsid w:val="000A2D5C"/>
    <w:rsid w:val="000C4220"/>
    <w:rsid w:val="000D254E"/>
    <w:rsid w:val="001102A4"/>
    <w:rsid w:val="00130D1C"/>
    <w:rsid w:val="00180DBD"/>
    <w:rsid w:val="0021206B"/>
    <w:rsid w:val="00235E4C"/>
    <w:rsid w:val="002405E1"/>
    <w:rsid w:val="00315D72"/>
    <w:rsid w:val="00333103"/>
    <w:rsid w:val="00347E12"/>
    <w:rsid w:val="003B15E7"/>
    <w:rsid w:val="003F7802"/>
    <w:rsid w:val="00442C3E"/>
    <w:rsid w:val="00476899"/>
    <w:rsid w:val="004C53A6"/>
    <w:rsid w:val="00542F2E"/>
    <w:rsid w:val="00575E7D"/>
    <w:rsid w:val="005A7BE4"/>
    <w:rsid w:val="0061472E"/>
    <w:rsid w:val="006F087A"/>
    <w:rsid w:val="00721200"/>
    <w:rsid w:val="00775A72"/>
    <w:rsid w:val="007B12A7"/>
    <w:rsid w:val="00825F26"/>
    <w:rsid w:val="0083033C"/>
    <w:rsid w:val="00943AEF"/>
    <w:rsid w:val="009B3CE0"/>
    <w:rsid w:val="009F4EC1"/>
    <w:rsid w:val="00A17896"/>
    <w:rsid w:val="00A27DDB"/>
    <w:rsid w:val="00A45032"/>
    <w:rsid w:val="00A90A3C"/>
    <w:rsid w:val="00B56AE6"/>
    <w:rsid w:val="00C324F8"/>
    <w:rsid w:val="00C529DB"/>
    <w:rsid w:val="00C851F2"/>
    <w:rsid w:val="00C914F4"/>
    <w:rsid w:val="00CA338E"/>
    <w:rsid w:val="00CB1285"/>
    <w:rsid w:val="00D108D9"/>
    <w:rsid w:val="00D74780"/>
    <w:rsid w:val="00D90657"/>
    <w:rsid w:val="00DD218F"/>
    <w:rsid w:val="00DD2AB3"/>
    <w:rsid w:val="00DF0345"/>
    <w:rsid w:val="00E05492"/>
    <w:rsid w:val="00E2405E"/>
    <w:rsid w:val="00E5026B"/>
    <w:rsid w:val="00E700D7"/>
    <w:rsid w:val="00E76CE4"/>
    <w:rsid w:val="00EA609C"/>
    <w:rsid w:val="00F01E91"/>
    <w:rsid w:val="00F255EB"/>
    <w:rsid w:val="00F47BC4"/>
    <w:rsid w:val="00FC58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Pr>
      <w:rFonts w:ascii="Courier New" w:hAnsi="Courier New" w:cs="Courier New"/>
    </w:rPr>
  </w:style>
  <w:style w:type="paragraph" w:styleId="Nagwek">
    <w:name w:val="header"/>
    <w:basedOn w:val="Normalny"/>
    <w:link w:val="NagwekZnak"/>
    <w:pPr>
      <w:tabs>
        <w:tab w:val="center" w:pos="4536"/>
        <w:tab w:val="right" w:pos="9072"/>
      </w:tabs>
    </w:pPr>
  </w:style>
  <w:style w:type="paragraph" w:styleId="Tekstpodstawowywcity3">
    <w:name w:val="Body Text Indent 3"/>
    <w:basedOn w:val="Normalny"/>
    <w:link w:val="Tekstpodstawowywcity3Znak"/>
    <w:pPr>
      <w:spacing w:line="360" w:lineRule="auto"/>
      <w:ind w:firstLine="426"/>
      <w:jc w:val="both"/>
    </w:pPr>
    <w:rPr>
      <w:sz w:val="26"/>
    </w:rPr>
  </w:style>
  <w:style w:type="character" w:styleId="Hipercze">
    <w:name w:val="Hyperlink"/>
    <w:rPr>
      <w:color w:val="0000FF"/>
      <w:u w:val="single"/>
    </w:rPr>
  </w:style>
  <w:style w:type="paragraph" w:styleId="Tekstpodstawowy">
    <w:name w:val="Body Text"/>
    <w:basedOn w:val="Normalny"/>
    <w:link w:val="TekstpodstawowyZnak"/>
    <w:pPr>
      <w:spacing w:line="360" w:lineRule="auto"/>
      <w:jc w:val="both"/>
    </w:pPr>
    <w:rPr>
      <w:sz w:val="24"/>
    </w:rPr>
  </w:style>
  <w:style w:type="paragraph" w:styleId="Stopka">
    <w:name w:val="footer"/>
    <w:basedOn w:val="Normalny"/>
    <w:rsid w:val="0061472E"/>
    <w:pPr>
      <w:tabs>
        <w:tab w:val="center" w:pos="4536"/>
        <w:tab w:val="right" w:pos="9072"/>
      </w:tabs>
    </w:pPr>
  </w:style>
  <w:style w:type="character" w:styleId="Numerstrony">
    <w:name w:val="page number"/>
    <w:basedOn w:val="Domylnaczcionkaakapitu"/>
    <w:rsid w:val="00DD2AB3"/>
  </w:style>
  <w:style w:type="paragraph" w:styleId="Tytu">
    <w:name w:val="Title"/>
    <w:basedOn w:val="Normalny"/>
    <w:qFormat/>
    <w:rsid w:val="00347E12"/>
    <w:pPr>
      <w:jc w:val="center"/>
      <w:outlineLvl w:val="0"/>
    </w:pPr>
    <w:rPr>
      <w:b/>
      <w:sz w:val="24"/>
      <w:szCs w:val="24"/>
    </w:rPr>
  </w:style>
  <w:style w:type="character" w:customStyle="1" w:styleId="Nagwek1Znak">
    <w:name w:val="Nagłówek 1 Znak"/>
    <w:link w:val="Nagwek1"/>
    <w:rsid w:val="00B56AE6"/>
    <w:rPr>
      <w:rFonts w:ascii="Arial" w:hAnsi="Arial"/>
      <w:b/>
      <w:kern w:val="28"/>
      <w:sz w:val="28"/>
    </w:rPr>
  </w:style>
  <w:style w:type="character" w:customStyle="1" w:styleId="NagwekZnak">
    <w:name w:val="Nagłówek Znak"/>
    <w:link w:val="Nagwek"/>
    <w:rsid w:val="00B56AE6"/>
  </w:style>
  <w:style w:type="character" w:customStyle="1" w:styleId="TekstpodstawowyZnak">
    <w:name w:val="Tekst podstawowy Znak"/>
    <w:link w:val="Tekstpodstawowy"/>
    <w:rsid w:val="00B56AE6"/>
    <w:rPr>
      <w:sz w:val="24"/>
    </w:rPr>
  </w:style>
  <w:style w:type="character" w:customStyle="1" w:styleId="Tekstpodstawowywcity3Znak">
    <w:name w:val="Tekst podstawowy wcięty 3 Znak"/>
    <w:link w:val="Tekstpodstawowywcity3"/>
    <w:rsid w:val="00B56AE6"/>
    <w:rPr>
      <w:sz w:val="26"/>
    </w:rPr>
  </w:style>
  <w:style w:type="paragraph" w:styleId="Tekstdymka">
    <w:name w:val="Balloon Text"/>
    <w:basedOn w:val="Normalny"/>
    <w:link w:val="TekstdymkaZnak"/>
    <w:uiPriority w:val="99"/>
    <w:semiHidden/>
    <w:unhideWhenUsed/>
    <w:rsid w:val="00B56AE6"/>
    <w:rPr>
      <w:rFonts w:ascii="Tahoma" w:hAnsi="Tahoma" w:cs="Tahoma"/>
      <w:sz w:val="16"/>
      <w:szCs w:val="16"/>
    </w:rPr>
  </w:style>
  <w:style w:type="character" w:customStyle="1" w:styleId="TekstdymkaZnak">
    <w:name w:val="Tekst dymka Znak"/>
    <w:basedOn w:val="Domylnaczcionkaakapitu"/>
    <w:link w:val="Tekstdymka"/>
    <w:uiPriority w:val="99"/>
    <w:semiHidden/>
    <w:rsid w:val="00B56AE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5496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8</Pages>
  <Words>2769</Words>
  <Characters>16884</Characters>
  <Application>Microsoft Office Word</Application>
  <DocSecurity>0</DocSecurity>
  <Lines>140</Lines>
  <Paragraphs>39</Paragraphs>
  <ScaleCrop>false</ScaleCrop>
  <HeadingPairs>
    <vt:vector size="2" baseType="variant">
      <vt:variant>
        <vt:lpstr>Tytuł</vt:lpstr>
      </vt:variant>
      <vt:variant>
        <vt:i4>1</vt:i4>
      </vt:variant>
    </vt:vector>
  </HeadingPairs>
  <TitlesOfParts>
    <vt:vector size="1" baseType="lpstr">
      <vt:lpstr>Pismo: @#sygnatura</vt:lpstr>
    </vt:vector>
  </TitlesOfParts>
  <Company>AGH</Company>
  <LinksUpToDate>false</LinksUpToDate>
  <CharactersWithSpaces>19614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 @#sygnatura</dc:title>
  <dc:subject/>
  <dc:creator>Michał Długoń</dc:creator>
  <cp:keywords/>
  <dc:description/>
  <cp:lastModifiedBy>Michał Długoń</cp:lastModifiedBy>
  <cp:revision>2</cp:revision>
  <cp:lastPrinted>2020-07-09T12:17:00Z</cp:lastPrinted>
  <dcterms:created xsi:type="dcterms:W3CDTF">2020-07-09T12:17:00Z</dcterms:created>
  <dcterms:modified xsi:type="dcterms:W3CDTF">2020-07-09T12:17:00Z</dcterms:modified>
</cp:coreProperties>
</file>