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25/06/2020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S121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Roboty budowlane - Ogłoszenie o zamówieniu - Procedura otwarta </w:t>
      </w:r>
    </w:p>
    <w:p w:rsidR="00A257E0" w:rsidRDefault="00A257E0" w:rsidP="00A257E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A257E0" w:rsidRDefault="00A257E0" w:rsidP="00A257E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A257E0" w:rsidRDefault="00A257E0" w:rsidP="00A257E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A257E0" w:rsidRDefault="00A257E0" w:rsidP="00A257E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A257E0" w:rsidRDefault="00A257E0" w:rsidP="00A257E0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A257E0" w:rsidRDefault="00A257E0" w:rsidP="00A257E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Roboty budowlane związane z halami sportowymi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121-293725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Roboty budowlane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A257E0" w:rsidRDefault="00A257E0" w:rsidP="00A257E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 Miasto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Inna działalność: edukacja, kultura fizyczna</w:t>
      </w:r>
    </w:p>
    <w:p w:rsidR="00A257E0" w:rsidRDefault="00A257E0" w:rsidP="00A257E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Budowa wielofunkcyjnej hali sportowej AGH w Krakowie. KC-zp.272-255/20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KC-zp.272-255/20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45212225 Roboty budowlane związane z halami sportowymi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Roboty budowlane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budowa wielofunkcyjnej hali sportowej AGH w Krakowie.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Teren inwestycji obejmuje fragmenty działek nr 121/1, 122/3, 122/4, 122/7, 122/9, 123/4, 123/5, 124/4, 140/3, 140/4, 140/5, 140/8, 140/11, 272/8, 272/30, 272/31, 276/22, 276/23, 333/5, 333/6, 333/7, obręb 5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Krowodrza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Wszystkie działki położone są na terenie Kampusu AGH rejonie ulic: Armii Krajowej, Piastowskiej, Buszka, Tokarskiego w Krakowie. Teren opracowania przeznaczony pod budynek hali sportowej ograniczony od północy budynkiem przychodni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Scanmed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od strony wschodniej budynkami DS, od południa budynkiem basenu, od zachodu budynkiem Spółdzielni Mieszkaniowej Pracowników Nauki.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 POLSKA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Dane techniczne nowego budynku: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powierzchnia użytkowa: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piwnice 1 771,06,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parter 2 550,72,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1 piętro 1 243,99,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2 piętro 976,72,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3 piętro 582,10.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Razem 7 124,59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powierzchnia całkowita: 13 623,26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powierzchnia zabudowy: 6 398,79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2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kubatura: 61 101,78 m</w:t>
      </w:r>
      <w:r>
        <w:rPr>
          <w:rFonts w:ascii="Lucida Sans Unicode" w:hAnsi="Lucida Sans Unicode" w:cs="Lucida Sans Unicode"/>
          <w:color w:val="000000"/>
          <w:sz w:val="15"/>
          <w:szCs w:val="15"/>
          <w:vertAlign w:val="superscript"/>
        </w:rPr>
        <w:t>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t>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wysokość: ok. 19,2 m.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Zakres zadania obejmuje: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rozbiórkę: likwidację starego orurowania na planowanej inwestycji – uzgodnienie i zgłoszenie robót demontażowych wraz z przeprowadzeniem całej procedury formalno-prawnej z danym dostawcą mediów, to jest m.in. z MPEC, MPWiK, Tauron i PSGAZ;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budowę nowego budynku wielofunkcyjnej hali sportowej wraz z zagospodarowaniem;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przebudowę układu drogowego i chodników wokół budynku, wykonanie elementów małej architektury z zielenią parkową;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wykonanie zasilania i przebudowę uzbrojenia energetycznego;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wykonanie kanalizacji teletechnicznej oraz przyłącza teletechnicznego do budynku;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wykonanie zewnętrznej instalacji kanalizacji sanitarnej i deszczowej oraz ogólnospławnej;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wykonanie zewnętrznego podłączenia instalacji wody;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8. wykonanie zewnętrznego podłączenia centralnego ogrzewania;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9. wyposażenie. W ofercie należy wycenić tylko wyposażenie ujęte w projektach branżowych oraz wyposażenie, które jest ujęte PW „Projekt wnętrz” i „Projekt zagospodarowania terenu i małej architektury”;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10. zieleń. W ofercie należy wycenić prace związane z zielenią ujęte w projekcie PW „Projekt zagospodarowania terenu i małej architektury” oraz „Architektura”.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wymaga zatrudnienia przez Wykonawcę lub Podwykonawcę na podstawie umowy o pracę, w sposób określony w art. 22 § 1 ustawy z dnia 26 czerwca 1974 r. – Kodeks pracy (Dz.U. z 2018 r. poz. 917), osób wykonujących czynności polegające na wykonaniu: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ziemnych,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wyburzeniowych,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demontażowych,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brukarskich,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prac ogrodniczych,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murarskich,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tynkarskich,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żelbetowych,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ślusarki wewnętrznej i zewnętrznej,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robót wykończeniowych,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robót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ociepleniowych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i elewacyjnych,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układaniu kabli elektrycznych i teletechnicznych,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sanitarnych; wentylacji, klimatyzacji wraz z urządzeniami,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wod.-kan. wraz z urządzeniami,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c.o. wraz z urządzeniami,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instalacji, osprzętu i urządzeń elektrycznych w tym dźwigowych,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montażu instalacji słaboprądowych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objętych przedmiotem zamówienia. Wyżej określony wymóg dotyczy również Podwykonawców wykonujących wskazane powyżej prace.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winien wykazać, że do wykonania przedmiotu zamówienia zostaną odpowiednio skierowane: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co najmniej dwie osoby posiadające aktualne świadectwo kwalifikacyjne uprawniające do zajmowania się eksploatacją urządzeń na stanowisku dozoru (D) w zakresie obsługi, konserwacji, remontów, montażu, kontrolno-pomiarowym dla urządzeń, instalacji i sieci „grupa 1”;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1”;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co najmniej jedna osoba posiadająca aktualne certyfikaty do bieżącej obsługi, konfiguracji, instalacji systemowej, instalacji oprogramowania sterującego i instalacji zarządzających elementów aktywnych dla zaproponowanych central telefonicznych.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Wykonawca winien udzielić pełnej gwarancji na roboty objęte zakresem zamówienia na okres nie krótszy niż 3 lata (36 miesięcy) z wyjątkiem: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dachu i elewacji, gdzie okres gwarancji nie może być krótszy niż 10 lat (120 miesięcy),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okien i drzwi zewnętrznych, gdzie okres gwarancji nie może być krótszy niż 5 lat,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instalacji sieci strukturalnych (logicznych), gdzie okres gwarancji systemowej udzielony przez producenta nie może być krótszy niż 25 lat.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21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cena – 60 %;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okres gwarancji – 40 %.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Wszystkie kody i nazwy zamówienia według Wspólnego Słownika Zamówień wskazano w SIWZ.</w:t>
      </w:r>
    </w:p>
    <w:p w:rsidR="00A257E0" w:rsidRDefault="00A257E0" w:rsidP="00A257E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którzy: nie podlegają wykluczeniu na podstawie art. 24 ust. 1 pkt 12–23 oraz art. 24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A. informacja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wystawiona nie wcześniej niż przed terminem 6 miesięcy przed upływem terminu składania ofert;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zaświadczenie właściwego naczelnika urzędu skarbowego potwierdzające, że Wykonawca nie zalega z opłacaniem podatków, wystawione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zaświadczenie właściwej terenowej jednostki organizacyjnej Zakładu Ubezpieczeń Społecznych lub Kasy Rolniczego Ubezpieczenia Społecznego albo inny dokument potwierdzający,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D.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E. oświadczenie Wykonawcy o braku wydania wobec niego prawomocnego wyroku sądu lub ostatecznej decyzji administracyjnej o zaleganiu z uiszczaniem podatków, opłat lub składek na ubezpieczenia społeczne lub zdrowotne albo – w przypadku wydania takiego wyroku lub decyzji –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dokumenty potwierdzające dokonanie płatności tych należności wraz z ewentualnymi odsetkami lub grzywnami lub zawarcie wiążącego porozumienia w sprawie spłat tych należności;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F. oświadczenie Wykonawcy o braku orzeczenia wobec niego tytułem środka zapobiegawczego zakazu ubiegania się o zamówienia publiczne;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G. oświadczenie Wykonawcy o niezaleganiu z opłacaniem podatków i opłat lokalnych, o których mowa w ustawie z dnia 12 stycznia 1991 r. o podatkach i opłatach lokalnych (Dz.U. z 2016 r. poz. 716);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H. wykaz robót budowlanych wykonanych nie wcześniej niż w okresie ostatnich 10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I. wykaz osób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Wykonawca polega na zdolnościach lub sytuacji innych podmiotów na zasadach określonych w art. 22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Zamawiający żąda przedstawienia w odniesieniu do tych podmiotów dokumentów wymienionych w ust. 7.4 pkt 1–7 SIWZ.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A–D, składa odpowiednio dokumenty wskazane w pkt 7.5.1 SIWZ.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uzna wyżej wymieniony warunek za spełniony, jeżeli Wykonawca wykaże, że: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 okresie ostatnich dziesięciu lat przed dniem upływu składania ofert, a jeżeli okres prowadzenia działalności jest krótszy – w tym okresie, wykonał co najmniej 2 (dwie) realizacje, przy czym każda z nich polegała na budowie* budynku sportu i rekreacji**, co najmniej średniowysokiego***, każdego na kwotę co najmniej 20 000 000,00 PLN (dwadzieścia milionów złotych).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Wykonawców, którzy wykonywali realizacje za wynagrodzeniem wyrażonym w innych walutach niż złoty polski, Zamawiający przeliczy wartość tych realizacji po średnim kursie NBP z dnia ukazania się ogłoszenia o zamówieniu;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dysponuje lub będzie dysponował osobą, która będzie pełnić funkcję kierownika budowy, posiadającą uprawnienia do kierowania robotami budowlanymi w specjalności konstrukcyjno-budowlanej bez ograniczeń;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dysponuje lub będzie dysponował osobą, która będzie pełnić funkcję kierownika robót, posiadającą uprawnienia budowlane do kierowania robotami budowlanymi bez ograniczeń, w specjalności instalacyjnej w zakresie: sieci, instalacji i urządzeń cieplnych, wentylacyjnych, wodociągowych i kanalizacyjnych;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dysponuje lub będzie dysponował osobą, która będzie pełnić funkcję kierownika robót, posiadającą uprawnienia budowlane do kierowania robotami budowlanymi bez ograniczeń, w specjalności instalacyjnej w zakresie sieci, instalacji i urządzeń elektrycznych i elektroenergetycznych;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e) dysponuje lub będzie dysponował osobą, która będzie pełnić funkcję kierownika robót, posiadającą uprawnienia budowlane do kierowania robotami budowlanymi bez ograniczeń, w specjalności instalacyjnej w zakresie sieci, instalacji i urządzeń telekomunikacyjnych.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 może w celu potwierdzenia spełniania warunków udziału w postępowaniu, o których mowa w pkt 5.1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Wykonawca, który polega na zdolnościach lub sytuacji innych podmiotów, udowodni Zamawiającemu, że realizując zamówienie będzie dysponował niezbędnymi zasobami tych podmiotów, w szczególności przedstawiając zobowiązanie tych podmiotów do oddania mu do dyspozycji niezbędnych zasobów na potrzeby realizacji zamówienia.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— Zamawiający oceni, czy udostępniane Wykonawcy przez inne podmioty zdolności techniczne lub zawodowe lub ich sytuacja finansowa lub ekonomiczna pozwalają na wykazanie przez Wykonawcę spełniania warunków udziału w postępowaniu oraz zbada, czy nie zachodzą wobec tego podmiotu podstawy wykluczenia, o których mowa w art. 24 ust. 1 pkt 13–22 i ust. 5 pkt 1 i 8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 odniesieniu do warunków dotyczących wykształcenia, kwalifikacji zawodowych lub doświadczenia, Wykonawcy mogą polegać na zdolnościach innych podmiotów, jeśli podmioty te zrealizują roboty budowlane, do realizacji których te zdolności są wymagane.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 zobowiązania lub innych dokumentów potwierdzających udostępnienie zasobów przez inne podmioty musi bezspornie i jednoznacznie wynikać w szczególności: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dostępnych Wykonawcy zasobów innego podmiotu,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sposób wykorzystania zasobów innego podmiotu, przez Wykonawcę, przy wykonywaniu zamówienia,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zakres i okres udziału innego podmiotu przy wykonywaniu zamówienia publicznego,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• czy podmiot, na zdolnościach którego Wykonawca polega w odniesieniu do warunków udziału w postępowaniu dotyczących wykształcenia, kwalifikacji zawodowych lub doświadczenia, zrealizuje roboty budowlane, których wskazane zdolności dotyczą.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Wykonawcy mogą wspólnie ubiegać się o udzielenie zamówienia. W takim przypadku Wykonawcy ustanawiają pełnomocnika do reprezentowania ich w postępowaniu o udzielenie zamówienia albo reprezentowania w postępowaniu i zawarcia umowy w sprawie zamówienia publicznego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A257E0" w:rsidRDefault="00A257E0" w:rsidP="00A257E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Zmniejszenie liczby rozwiązań lub ofert podczas negocjacji lub dialogu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aukcji elektronicznej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28/07/2020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28/07/2020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POLSKA</w:t>
      </w:r>
    </w:p>
    <w:p w:rsidR="00A257E0" w:rsidRDefault="00A257E0" w:rsidP="00A257E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 500 000,00 PLN (słownie: pięćset tysięcy zł 00/100).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 (nie dopuszcza się wpłaty gotówką):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przypomina, że za skutecznie wniesione wadium uznaje się zaksięgowanie kwoty na rachunku bankowym Zamawiającego,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 lub poręczeniach spółdzielczej kasy oszczędnościowo-kredytowej, z tym, że poręczenie kasy jest zawsze poręczeniem pieniężnym,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Zamawiający żąda aby Wykonawca złożył wraz z ofertą: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zgodnie z treścią załącznika nr 1 do SIWZ;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wadium;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zobowiązanie lub inne dokumenty potwierdzające udostępnienie zasobów przez inne podmioty.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4.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5. Ofertę i oświadczenie JEDZ sporządza się, pod rygorem nieważności, w postaci elektronicznej i opatruje się kwalifikowanym podpisem elektronicznym.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6.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7. Wykonawca, którego oferta uznana jest za najkorzystniejszą, przed podpisaniem umowy zobowiązany jest wnieść zabezpieczenie należytego wykonania umowy.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8. Wykonawca na własny koszt, w okresie realizacji umowy ubezpieczy i zapewni ciągłość linii ubezpieczenia wskazanych w SIWZ.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9. Wybrany w drodze postępowania przetargowego Wykonawca winien przed podpisaniem umowy przedłożyć Zamawiającemu: uprawnienia wymienione w pkt 5.1.3 SIWZ, kserokopię aktualnych świadectw kwalifikacyjnych osób (pkt a i b) SIWZ, które będą wykonywać przedmiot zamówienia – zgodnie z wymogiem określonym w pkt III SIWZ, oświadczenia wskazane w pkt 15.8 SIWZ, kosztorys.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A257E0" w:rsidRDefault="00A257E0" w:rsidP="00A257E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publicznych, dział VI, art. 179 –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lastRenderedPageBreak/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257E0" w:rsidRDefault="00A257E0" w:rsidP="00A257E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22/06/2020</w:t>
      </w:r>
    </w:p>
    <w:p w:rsidR="001F2F5B" w:rsidRPr="00A257E0" w:rsidRDefault="001F2F5B" w:rsidP="00A257E0">
      <w:bookmarkStart w:id="0" w:name="_GoBack"/>
      <w:bookmarkEnd w:id="0"/>
    </w:p>
    <w:sectPr w:rsidR="001F2F5B" w:rsidRPr="00A257E0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60ED" w:rsidRDefault="00F860ED">
      <w:r>
        <w:separator/>
      </w:r>
    </w:p>
  </w:endnote>
  <w:endnote w:type="continuationSeparator" w:id="0">
    <w:p w:rsidR="00F860ED" w:rsidRDefault="00F86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C10" w:rsidRDefault="00ED0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60ED" w:rsidRDefault="00F860ED">
      <w:r>
        <w:separator/>
      </w:r>
    </w:p>
  </w:footnote>
  <w:footnote w:type="continuationSeparator" w:id="0">
    <w:p w:rsidR="00F860ED" w:rsidRDefault="00F86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C10" w:rsidRDefault="00ED0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C10" w:rsidRDefault="00ED0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4D1DEA"/>
    <w:multiLevelType w:val="multilevel"/>
    <w:tmpl w:val="C67C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60ED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257E0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D0C10"/>
    <w:rsid w:val="00F26856"/>
    <w:rsid w:val="00F5324E"/>
    <w:rsid w:val="00F8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3DCD0A-E324-4C46-90C5-43C049A3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A257E0"/>
  </w:style>
  <w:style w:type="character" w:customStyle="1" w:styleId="oj">
    <w:name w:val="oj"/>
    <w:rsid w:val="00A257E0"/>
  </w:style>
  <w:style w:type="character" w:customStyle="1" w:styleId="heading">
    <w:name w:val="heading"/>
    <w:rsid w:val="00A257E0"/>
  </w:style>
  <w:style w:type="character" w:styleId="Hipercze">
    <w:name w:val="Hyperlink"/>
    <w:uiPriority w:val="99"/>
    <w:semiHidden/>
    <w:unhideWhenUsed/>
    <w:rsid w:val="00A257E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257E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257E0"/>
    <w:pPr>
      <w:spacing w:before="100" w:beforeAutospacing="1" w:after="100" w:afterAutospacing="1"/>
    </w:pPr>
  </w:style>
  <w:style w:type="character" w:customStyle="1" w:styleId="nomark">
    <w:name w:val="nomark"/>
    <w:rsid w:val="00A257E0"/>
  </w:style>
  <w:style w:type="character" w:customStyle="1" w:styleId="timark">
    <w:name w:val="timark"/>
    <w:rsid w:val="00A257E0"/>
  </w:style>
  <w:style w:type="character" w:customStyle="1" w:styleId="nutscode">
    <w:name w:val="nutscode"/>
    <w:rsid w:val="00A257E0"/>
  </w:style>
  <w:style w:type="character" w:customStyle="1" w:styleId="cpvcode">
    <w:name w:val="cpvcode"/>
    <w:rsid w:val="00A25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55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14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90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4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01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6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77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83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264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19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262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85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7710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13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9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20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786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784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56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244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55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590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7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137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5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85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334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23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112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4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428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6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065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5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9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8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16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38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252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56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664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669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67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079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227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79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80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307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506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063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5219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694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93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92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9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544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3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495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88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0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5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15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09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84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034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596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3750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78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02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334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1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8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2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8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11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72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5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59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71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666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757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389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46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84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422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72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002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2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329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25334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930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69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845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4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52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706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088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89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1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468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37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56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14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22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375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3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18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07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93725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93725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93725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93725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93725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2850</Words>
  <Characters>20264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2020-06-25T07:34:00Z</dcterms:created>
  <dcterms:modified xsi:type="dcterms:W3CDTF">2020-06-25T07:34:00Z</dcterms:modified>
</cp:coreProperties>
</file>