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>
        <w:rPr>
          <w:rFonts w:ascii="Calibri" w:hAnsi="Calibri" w:cs="Tahoma"/>
          <w:b/>
          <w:sz w:val="24"/>
          <w:szCs w:val="24"/>
        </w:rPr>
        <w:t>Załącznik nr 2</w:t>
      </w:r>
    </w:p>
    <w:p>
      <w:pPr>
        <w:pStyle w:val="Nagwek2"/>
        <w:widowControl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FORMULARZ OFERTY</w:t>
      </w:r>
    </w:p>
    <w:p>
      <w:pPr>
        <w:jc w:val="right"/>
        <w:rPr>
          <w:rFonts w:ascii="Calibri" w:hAnsi="Calibri"/>
          <w:sz w:val="22"/>
          <w:szCs w:val="22"/>
        </w:rPr>
      </w:pPr>
    </w:p>
    <w:p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13970" t="6985" r="12065" b="1270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/>
                          <w:p>
                            <w:pPr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spacing w:before="360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" filled="f" strokeweight=".25pt">
                <v:textbox inset="1pt,1pt,1pt,1pt">
                  <w:txbxContent>
                    <w:p/>
                    <w:p>
                      <w:pPr>
                        <w:rPr>
                          <w:sz w:val="12"/>
                        </w:rPr>
                      </w:pPr>
                    </w:p>
                    <w:p>
                      <w:pPr>
                        <w:rPr>
                          <w:sz w:val="12"/>
                        </w:rPr>
                      </w:pPr>
                    </w:p>
                    <w:p>
                      <w:pPr>
                        <w:rPr>
                          <w:sz w:val="12"/>
                        </w:rPr>
                      </w:pPr>
                    </w:p>
                    <w:p>
                      <w:pPr>
                        <w:rPr>
                          <w:sz w:val="12"/>
                        </w:rPr>
                      </w:pPr>
                    </w:p>
                    <w:p>
                      <w:pPr>
                        <w:spacing w:before="360"/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/>
                  </w:txbxContent>
                </v:textbox>
              </v:roundrect>
            </w:pict>
          </mc:Fallback>
        </mc:AlternateContent>
      </w:r>
      <w:r>
        <w:rPr>
          <w:rFonts w:ascii="Calibri" w:hAnsi="Calibri"/>
          <w:i/>
          <w:sz w:val="18"/>
          <w:szCs w:val="18"/>
        </w:rPr>
        <w:t>(miejscowość)</w:t>
      </w:r>
      <w:r>
        <w:rPr>
          <w:rFonts w:ascii="Calibri" w:hAnsi="Calibri"/>
          <w:i/>
          <w:sz w:val="18"/>
          <w:szCs w:val="18"/>
        </w:rPr>
        <w:tab/>
        <w:t>(data)</w:t>
      </w:r>
    </w:p>
    <w:p>
      <w:pPr>
        <w:spacing w:line="360" w:lineRule="auto"/>
        <w:ind w:left="709" w:hanging="425"/>
        <w:jc w:val="both"/>
        <w:rPr>
          <w:rFonts w:ascii="Calibri" w:hAnsi="Calibri"/>
        </w:rPr>
      </w:pPr>
    </w:p>
    <w:p>
      <w:pPr>
        <w:spacing w:line="360" w:lineRule="auto"/>
        <w:ind w:left="709" w:hanging="425"/>
        <w:jc w:val="both"/>
        <w:rPr>
          <w:rFonts w:ascii="Calibri" w:hAnsi="Calibri"/>
        </w:rPr>
      </w:pPr>
    </w:p>
    <w:p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>
      <w:pPr>
        <w:spacing w:before="120"/>
        <w:ind w:firstLine="3969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Uniwersytet Morski w Gdyni</w:t>
      </w:r>
    </w:p>
    <w:p>
      <w:pPr>
        <w:ind w:left="3969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ul. Morska 81-87</w:t>
      </w:r>
    </w:p>
    <w:p>
      <w:pPr>
        <w:ind w:firstLine="3969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81-225 Gdynia</w:t>
      </w:r>
    </w:p>
    <w:p>
      <w:pPr>
        <w:jc w:val="center"/>
        <w:rPr>
          <w:rFonts w:ascii="Calibri" w:hAnsi="Calibri"/>
          <w:b/>
        </w:rPr>
      </w:pPr>
    </w:p>
    <w:p>
      <w:pPr>
        <w:jc w:val="center"/>
        <w:rPr>
          <w:rFonts w:ascii="Calibri" w:hAnsi="Calibri"/>
          <w:b/>
          <w:bCs/>
          <w:i/>
        </w:rPr>
      </w:pPr>
    </w:p>
    <w:p>
      <w:pPr>
        <w:jc w:val="center"/>
        <w:rPr>
          <w:rFonts w:ascii="Calibri" w:hAnsi="Calibri"/>
          <w:b/>
          <w:bCs/>
          <w:i/>
        </w:rPr>
      </w:pPr>
      <w:r>
        <w:rPr>
          <w:rFonts w:ascii="Calibri" w:hAnsi="Calibri"/>
          <w:b/>
          <w:bCs/>
          <w:i/>
        </w:rPr>
        <w:t>Przetarg nieograniczony – znak sprawy CRZP/48/2020/AZP</w:t>
      </w:r>
    </w:p>
    <w:p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i/>
        </w:rPr>
        <w:t>Limit na gwarancje bankowe</w:t>
      </w:r>
    </w:p>
    <w:p>
      <w:pPr>
        <w:jc w:val="center"/>
        <w:rPr>
          <w:rFonts w:ascii="Calibri" w:hAnsi="Calibri"/>
          <w:sz w:val="22"/>
          <w:szCs w:val="22"/>
        </w:rPr>
      </w:pPr>
    </w:p>
    <w:p>
      <w:pPr>
        <w:tabs>
          <w:tab w:val="left" w:pos="360"/>
        </w:tabs>
        <w:ind w:right="4"/>
        <w:rPr>
          <w:rFonts w:ascii="Calibri" w:hAnsi="Calibri"/>
          <w:b/>
        </w:rPr>
      </w:pPr>
      <w:r>
        <w:rPr>
          <w:rFonts w:ascii="Calibri" w:hAnsi="Calibri"/>
          <w:b/>
          <w:smallCaps/>
        </w:rPr>
        <w:t>I.</w:t>
      </w:r>
      <w:r>
        <w:rPr>
          <w:rFonts w:ascii="Calibri" w:hAnsi="Calibri"/>
          <w:b/>
          <w:smallCaps/>
        </w:rPr>
        <w:tab/>
        <w:t>Oferta złożona przez wykonawcę/podmioty wspólnie ubiegające się o zamówienie</w:t>
      </w:r>
      <w:r>
        <w:rPr>
          <w:rStyle w:val="Odwoanieprzypisudolnego"/>
          <w:rFonts w:ascii="Calibri" w:hAnsi="Calibri"/>
          <w:b/>
          <w:smallCaps/>
        </w:rPr>
        <w:footnoteReference w:id="1"/>
      </w:r>
    </w:p>
    <w:p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>
      <w:pPr>
        <w:pStyle w:val="Tekstpodstawowy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>
      <w:pPr>
        <w:rPr>
          <w:rFonts w:ascii="Calibri" w:hAnsi="Calibri"/>
          <w:sz w:val="22"/>
          <w:szCs w:val="22"/>
        </w:rPr>
      </w:pPr>
    </w:p>
    <w:p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b) kod, miejscowość, ulica........................................................................................................................</w:t>
      </w:r>
    </w:p>
    <w:p>
      <w:pPr>
        <w:rPr>
          <w:rFonts w:ascii="Calibri" w:hAnsi="Calibri"/>
          <w:sz w:val="22"/>
          <w:szCs w:val="22"/>
        </w:rPr>
      </w:pPr>
    </w:p>
    <w:p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>
      <w:pPr>
        <w:pStyle w:val="Tekstpodstawowy"/>
        <w:rPr>
          <w:rFonts w:ascii="Calibri" w:hAnsi="Calibri"/>
          <w:sz w:val="22"/>
          <w:szCs w:val="22"/>
          <w:lang w:val="de-DE"/>
        </w:rPr>
      </w:pPr>
    </w:p>
    <w:p>
      <w:pPr>
        <w:pStyle w:val="Tekstpodstawowy"/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>
        <w:rPr>
          <w:rFonts w:ascii="Calibri" w:hAnsi="Calibri"/>
          <w:sz w:val="22"/>
          <w:szCs w:val="22"/>
          <w:lang w:val="de-DE"/>
        </w:rPr>
        <w:t>e-mail</w:t>
      </w:r>
      <w:proofErr w:type="spellEnd"/>
      <w:r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>
        <w:rPr>
          <w:rFonts w:ascii="Calibri" w:hAnsi="Calibri"/>
          <w:sz w:val="22"/>
          <w:szCs w:val="22"/>
          <w:lang w:val="de-DE"/>
        </w:rPr>
        <w:t>internet</w:t>
      </w:r>
      <w:proofErr w:type="spellEnd"/>
      <w:r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>
      <w:pPr>
        <w:pStyle w:val="Tekstpodstawowy"/>
        <w:tabs>
          <w:tab w:val="left" w:pos="851"/>
          <w:tab w:val="left" w:pos="5529"/>
        </w:tabs>
        <w:spacing w:after="0"/>
        <w:rPr>
          <w:rFonts w:ascii="Calibri" w:hAnsi="Calibri"/>
          <w:sz w:val="18"/>
          <w:szCs w:val="18"/>
        </w:rPr>
      </w:pPr>
      <w:r>
        <w:rPr>
          <w:rFonts w:ascii="Calibri" w:hAnsi="Calibri"/>
          <w:sz w:val="22"/>
          <w:szCs w:val="22"/>
          <w:lang w:val="de-DE"/>
        </w:rPr>
        <w:tab/>
      </w:r>
      <w:r>
        <w:rPr>
          <w:rFonts w:ascii="Calibri" w:hAnsi="Calibri"/>
          <w:sz w:val="18"/>
          <w:szCs w:val="18"/>
        </w:rPr>
        <w:t xml:space="preserve">(wypełnić jeśli Wykonawca posiada) </w:t>
      </w:r>
      <w:r>
        <w:rPr>
          <w:rFonts w:ascii="Calibri" w:hAnsi="Calibri"/>
          <w:sz w:val="18"/>
          <w:szCs w:val="18"/>
        </w:rPr>
        <w:tab/>
        <w:t>(wypełnić jeśli Wykonawca posiada)</w:t>
      </w:r>
    </w:p>
    <w:p>
      <w:pPr>
        <w:spacing w:before="100" w:beforeAutospacing="1"/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22"/>
          <w:szCs w:val="22"/>
          <w:lang w:val="de-DE"/>
        </w:rPr>
        <w:tab/>
      </w:r>
      <w:r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>
        <w:rPr>
          <w:rFonts w:ascii="Calibri" w:hAnsi="Calibri"/>
          <w:sz w:val="18"/>
          <w:szCs w:val="18"/>
        </w:rPr>
        <w:t>(wypełnić, jeśli Wykonawca posiada)</w:t>
      </w:r>
    </w:p>
    <w:p>
      <w:pPr>
        <w:spacing w:before="240"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>
        <w:rPr>
          <w:rFonts w:ascii="Calibri" w:hAnsi="Calibri" w:cs="Tahoma"/>
          <w:sz w:val="22"/>
          <w:szCs w:val="22"/>
        </w:rPr>
        <w:t>?</w:t>
      </w:r>
    </w:p>
    <w:p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>
        <w:rPr>
          <w:rStyle w:val="Odwoanieprzypisudolnego"/>
          <w:rFonts w:ascii="Calibri" w:hAnsi="Calibri"/>
          <w:b/>
          <w:smallCaps/>
        </w:rPr>
        <w:t>1</w:t>
      </w:r>
    </w:p>
    <w:p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g) osoba do kontaktu</w:t>
      </w:r>
    </w:p>
    <w:p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>
      <w:pPr>
        <w:rPr>
          <w:rFonts w:ascii="Calibri" w:hAnsi="Calibri"/>
          <w:sz w:val="22"/>
          <w:szCs w:val="22"/>
          <w:lang w:val="de-DE"/>
        </w:rPr>
      </w:pPr>
    </w:p>
    <w:p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br w:type="page"/>
      </w:r>
    </w:p>
    <w:p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Oferujemy realizację przedmiotu zamówienia zgodnie z zapisami SIWZ na poniższych warunkach:</w:t>
      </w:r>
    </w:p>
    <w:p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Wartość prowizji za przyznanie linii gwarancyjnej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567"/>
        <w:gridCol w:w="2024"/>
        <w:gridCol w:w="2956"/>
        <w:gridCol w:w="2811"/>
      </w:tblGrid>
      <w:tr>
        <w:tc>
          <w:tcPr>
            <w:tcW w:w="567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024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Wysokość prowizji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  <w:t>w %</w:t>
            </w:r>
          </w:p>
        </w:tc>
        <w:tc>
          <w:tcPr>
            <w:tcW w:w="2956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Wysokość linii gwarancyjnej</w:t>
            </w:r>
          </w:p>
        </w:tc>
        <w:tc>
          <w:tcPr>
            <w:tcW w:w="2811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Wartość prowizji za przyznanie linii gwarancyjnej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2024" w:type="dxa"/>
          </w:tcPr>
          <w:p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2956" w:type="dxa"/>
          </w:tcPr>
          <w:p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2811" w:type="dxa"/>
          </w:tcPr>
          <w:p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4=2x3</w:t>
            </w:r>
          </w:p>
        </w:tc>
      </w:tr>
      <w:tr>
        <w:trPr>
          <w:trHeight w:val="681"/>
        </w:trPr>
        <w:tc>
          <w:tcPr>
            <w:tcW w:w="567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024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56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10 000 000 zł</w:t>
            </w:r>
          </w:p>
        </w:tc>
        <w:tc>
          <w:tcPr>
            <w:tcW w:w="2811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>
      <w:pPr>
        <w:pStyle w:val="Akapitzlist"/>
        <w:numPr>
          <w:ilvl w:val="0"/>
          <w:numId w:val="8"/>
        </w:numPr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Wartość prowizji za wykorzystanie gwarancji w okresie trwania umowy</w:t>
      </w:r>
    </w:p>
    <w:tbl>
      <w:tblPr>
        <w:tblStyle w:val="Tabela-Siatka"/>
        <w:tblW w:w="8363" w:type="dxa"/>
        <w:tblInd w:w="704" w:type="dxa"/>
        <w:tblLook w:val="04A0" w:firstRow="1" w:lastRow="0" w:firstColumn="1" w:lastColumn="0" w:noHBand="0" w:noVBand="1"/>
      </w:tblPr>
      <w:tblGrid>
        <w:gridCol w:w="529"/>
        <w:gridCol w:w="1206"/>
        <w:gridCol w:w="2234"/>
        <w:gridCol w:w="1843"/>
        <w:gridCol w:w="2551"/>
      </w:tblGrid>
      <w:tr>
        <w:tc>
          <w:tcPr>
            <w:tcW w:w="529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1206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Wysokość prowizji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  <w:t>w %</w:t>
            </w:r>
          </w:p>
        </w:tc>
        <w:tc>
          <w:tcPr>
            <w:tcW w:w="2234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Wysokość linii gwarancyjnej (średnie wykorzystanie)</w:t>
            </w:r>
          </w:p>
        </w:tc>
        <w:tc>
          <w:tcPr>
            <w:tcW w:w="1843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Wartość prowizji kwartalnej za przyznanie linii gwarancyjnej</w:t>
            </w:r>
          </w:p>
        </w:tc>
        <w:tc>
          <w:tcPr>
            <w:tcW w:w="2551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Wartość prowizji za wykorzystanie gwarancji w okresie trwania umowy</w:t>
            </w:r>
          </w:p>
        </w:tc>
      </w:tr>
      <w:tr>
        <w:tc>
          <w:tcPr>
            <w:tcW w:w="529" w:type="dxa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206" w:type="dxa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2234" w:type="dxa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4=2x3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5=4x24(ilość kwartałów)</w:t>
            </w:r>
          </w:p>
        </w:tc>
      </w:tr>
      <w:tr>
        <w:trPr>
          <w:trHeight w:val="681"/>
        </w:trPr>
        <w:tc>
          <w:tcPr>
            <w:tcW w:w="529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06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34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8 000 000 zł</w:t>
            </w:r>
          </w:p>
        </w:tc>
        <w:tc>
          <w:tcPr>
            <w:tcW w:w="1843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Łączna cena brutto*: </w:t>
      </w:r>
      <w:r>
        <w:rPr>
          <w:rFonts w:asciiTheme="minorHAnsi" w:hAnsiTheme="minorHAnsi" w:cstheme="minorHAnsi"/>
          <w:sz w:val="24"/>
          <w:szCs w:val="24"/>
        </w:rPr>
        <w:t>………………...........................zł</w:t>
      </w:r>
    </w:p>
    <w:p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(słownie: ………………………………………………………………………………..…………….)</w:t>
      </w:r>
    </w:p>
    <w:p>
      <w:pPr>
        <w:spacing w:line="360" w:lineRule="auto"/>
        <w:ind w:left="39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*suma wartości prowizji z pkt. 1) -2)</w:t>
      </w:r>
    </w:p>
    <w:p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Oferujemy limit w wysokości:</w:t>
      </w:r>
    </w:p>
    <w:p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>
        <w:rPr>
          <w:rFonts w:asciiTheme="minorHAnsi" w:hAnsiTheme="minorHAnsi" w:cstheme="minorHAnsi"/>
          <w:sz w:val="24"/>
          <w:szCs w:val="24"/>
        </w:rPr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  <w:r>
        <w:rPr>
          <w:rFonts w:asciiTheme="minorHAnsi" w:hAnsiTheme="minorHAnsi" w:cstheme="minorHAnsi"/>
          <w:sz w:val="24"/>
          <w:szCs w:val="24"/>
        </w:rPr>
        <w:fldChar w:fldCharType="end"/>
      </w:r>
      <w:r>
        <w:rPr>
          <w:rFonts w:asciiTheme="minorHAnsi" w:hAnsiTheme="minorHAnsi" w:cstheme="minorHAnsi"/>
          <w:sz w:val="24"/>
          <w:szCs w:val="24"/>
        </w:rPr>
        <w:t xml:space="preserve"> 12.000.000</w:t>
      </w:r>
    </w:p>
    <w:p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>
        <w:rPr>
          <w:rFonts w:asciiTheme="minorHAnsi" w:hAnsiTheme="minorHAnsi" w:cstheme="minorHAnsi"/>
          <w:sz w:val="24"/>
          <w:szCs w:val="24"/>
        </w:rPr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  <w:r>
        <w:rPr>
          <w:rFonts w:asciiTheme="minorHAnsi" w:hAnsiTheme="minorHAnsi" w:cstheme="minorHAnsi"/>
          <w:sz w:val="24"/>
          <w:szCs w:val="24"/>
        </w:rPr>
        <w:fldChar w:fldCharType="end"/>
      </w:r>
      <w:r>
        <w:rPr>
          <w:rFonts w:asciiTheme="minorHAnsi" w:hAnsiTheme="minorHAnsi" w:cstheme="minorHAnsi"/>
          <w:sz w:val="24"/>
          <w:szCs w:val="24"/>
        </w:rPr>
        <w:t xml:space="preserve"> 11.000.000 – 11.999.999,99</w:t>
      </w:r>
    </w:p>
    <w:p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>
        <w:rPr>
          <w:rFonts w:asciiTheme="minorHAnsi" w:hAnsiTheme="minorHAnsi" w:cstheme="minorHAnsi"/>
          <w:sz w:val="24"/>
          <w:szCs w:val="24"/>
        </w:rPr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  <w:r>
        <w:rPr>
          <w:rFonts w:asciiTheme="minorHAnsi" w:hAnsiTheme="minorHAnsi" w:cstheme="minorHAnsi"/>
          <w:sz w:val="24"/>
          <w:szCs w:val="24"/>
        </w:rPr>
        <w:fldChar w:fldCharType="end"/>
      </w:r>
      <w:r>
        <w:rPr>
          <w:rFonts w:asciiTheme="minorHAnsi" w:hAnsiTheme="minorHAnsi" w:cstheme="minorHAnsi"/>
          <w:sz w:val="24"/>
          <w:szCs w:val="24"/>
        </w:rPr>
        <w:t xml:space="preserve"> 10.000.000 – 10.999.999,99</w:t>
      </w:r>
    </w:p>
    <w:p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>
        <w:rPr>
          <w:rFonts w:asciiTheme="minorHAnsi" w:hAnsiTheme="minorHAnsi" w:cstheme="minorHAnsi"/>
          <w:sz w:val="24"/>
          <w:szCs w:val="24"/>
        </w:rPr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  <w:r>
        <w:rPr>
          <w:rFonts w:asciiTheme="minorHAnsi" w:hAnsiTheme="minorHAnsi" w:cstheme="minorHAnsi"/>
          <w:sz w:val="24"/>
          <w:szCs w:val="24"/>
        </w:rPr>
        <w:fldChar w:fldCharType="end"/>
      </w:r>
      <w:r>
        <w:rPr>
          <w:rFonts w:asciiTheme="minorHAnsi" w:hAnsiTheme="minorHAnsi" w:cstheme="minorHAnsi"/>
          <w:sz w:val="24"/>
          <w:szCs w:val="24"/>
        </w:rPr>
        <w:t xml:space="preserve"> &lt;10.000.000</w:t>
      </w:r>
    </w:p>
    <w:p>
      <w:pPr>
        <w:ind w:left="397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Wykonawca zobowiązany jest do zaznaczenia jednej z wybranych opcji i w przypadku wyboru jakiegoś przedziału wpisania konkretnej wysokości limitu. W przypadku braku zaznaczenia przyjmuje się, że Wykonawca oferuje maksymalny wymagany przez Zamawiającego limit.</w:t>
      </w:r>
    </w:p>
    <w:p>
      <w:pPr>
        <w:numPr>
          <w:ilvl w:val="0"/>
          <w:numId w:val="1"/>
        </w:numPr>
        <w:spacing w:before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Oferujemy poniższe warunki zabezpieczenia:</w:t>
      </w:r>
    </w:p>
    <w:p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>
        <w:rPr>
          <w:rFonts w:asciiTheme="minorHAnsi" w:hAnsiTheme="minorHAnsi" w:cstheme="minorHAnsi"/>
          <w:sz w:val="24"/>
          <w:szCs w:val="24"/>
        </w:rPr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  <w:r>
        <w:rPr>
          <w:rFonts w:asciiTheme="minorHAnsi" w:hAnsiTheme="minorHAnsi" w:cstheme="minorHAnsi"/>
          <w:sz w:val="24"/>
          <w:szCs w:val="24"/>
        </w:rPr>
        <w:fldChar w:fldCharType="end"/>
      </w:r>
      <w:r>
        <w:rPr>
          <w:rFonts w:asciiTheme="minorHAnsi" w:hAnsiTheme="minorHAnsi" w:cstheme="minorHAnsi"/>
          <w:sz w:val="24"/>
          <w:szCs w:val="24"/>
        </w:rPr>
        <w:t xml:space="preserve"> brak zabezpieczeń</w:t>
      </w:r>
    </w:p>
    <w:p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>
        <w:rPr>
          <w:rFonts w:asciiTheme="minorHAnsi" w:hAnsiTheme="minorHAnsi" w:cstheme="minorHAnsi"/>
          <w:sz w:val="24"/>
          <w:szCs w:val="24"/>
        </w:rPr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  <w:r>
        <w:rPr>
          <w:rFonts w:asciiTheme="minorHAnsi" w:hAnsiTheme="minorHAnsi" w:cstheme="minorHAnsi"/>
          <w:sz w:val="24"/>
          <w:szCs w:val="24"/>
        </w:rPr>
        <w:fldChar w:fldCharType="end"/>
      </w:r>
      <w:r>
        <w:rPr>
          <w:rFonts w:asciiTheme="minorHAnsi" w:hAnsiTheme="minorHAnsi" w:cstheme="minorHAnsi"/>
          <w:sz w:val="24"/>
          <w:szCs w:val="24"/>
        </w:rPr>
        <w:t xml:space="preserve"> wyłącznie weksel in blanco z deklaracją wekslową</w:t>
      </w:r>
    </w:p>
    <w:p>
      <w:pPr>
        <w:spacing w:line="360" w:lineRule="auto"/>
        <w:ind w:left="39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>
        <w:rPr>
          <w:rFonts w:asciiTheme="minorHAnsi" w:hAnsiTheme="minorHAnsi" w:cstheme="minorHAnsi"/>
          <w:sz w:val="24"/>
          <w:szCs w:val="24"/>
        </w:rPr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  <w:r>
        <w:rPr>
          <w:rFonts w:asciiTheme="minorHAnsi" w:hAnsiTheme="minorHAnsi" w:cstheme="minorHAnsi"/>
          <w:sz w:val="24"/>
          <w:szCs w:val="24"/>
        </w:rPr>
        <w:fldChar w:fldCharType="end"/>
      </w:r>
      <w:r>
        <w:rPr>
          <w:rFonts w:asciiTheme="minorHAnsi" w:hAnsiTheme="minorHAnsi" w:cstheme="minorHAnsi"/>
          <w:sz w:val="24"/>
          <w:szCs w:val="24"/>
        </w:rPr>
        <w:t xml:space="preserve"> weksel in blanco z deklaracją wekslową oraz hipoteka morska (wraz z cesją z polisy ubezpieczeniowej) lub hipoteka morska (wraz z cesją z polisy ubezpieczeniowej).</w:t>
      </w:r>
    </w:p>
    <w:p>
      <w:pPr>
        <w:ind w:left="397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Wykonawca zobowiązany jest zaznaczyć jedną z wybranych opcji. W przypadku braku zaznaczenia przyjmuje się, że Wykonawca nie ma żadnych wymagań dotyczących zabezpieczenia spłaty kredytu.</w:t>
      </w:r>
    </w:p>
    <w:p>
      <w:pPr>
        <w:numPr>
          <w:ilvl w:val="0"/>
          <w:numId w:val="1"/>
        </w:numPr>
        <w:spacing w:before="120"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Oświadczamy, że zapoznaliśmy się ze Specyfikacją Istotnych Warunków Zamówienia oraz wyjaśnieniami* i/lub zmianami*</w:t>
      </w:r>
      <w:r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iż zaakceptowaliśmy termin realizacji przedmiotu umowy i zobowiązujemy się do wykonania zamówienia w terminie wskazanym w SIWZ.</w:t>
      </w:r>
    </w:p>
    <w:p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Akceptujemy warunki płatności: kwartalne naliczanie prowizji gwarancyjnej z tytułu wykorzystania limitu.</w:t>
      </w:r>
    </w:p>
    <w:p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Uważamy się za związanych ofertą przez okres 30 dni od terminu składania ofert.</w:t>
      </w:r>
    </w:p>
    <w:p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zawarte w Specyfikacji Istotnych Warunków Zamówienia istotne zapisy umowy zostały przez nas zaakceptowane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3340"/>
        <w:gridCol w:w="2110"/>
        <w:gridCol w:w="3130"/>
      </w:tblGrid>
      <w:tr>
        <w:tc>
          <w:tcPr>
            <w:tcW w:w="266" w:type="pct"/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164" w:type="pct"/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Wartość zakresu zamówienia w PLN</w:t>
            </w:r>
          </w:p>
        </w:tc>
        <w:tc>
          <w:tcPr>
            <w:tcW w:w="1727" w:type="pct"/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1164" w:type="pct"/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1727" w:type="pct"/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>
        <w:tc>
          <w:tcPr>
            <w:tcW w:w="266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>
        <w:tc>
          <w:tcPr>
            <w:tcW w:w="266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>
        <w:tc>
          <w:tcPr>
            <w:tcW w:w="266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1843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>
      <w:pPr>
        <w:numPr>
          <w:ilvl w:val="0"/>
          <w:numId w:val="1"/>
        </w:numPr>
        <w:spacing w:before="120"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0"/>
        <w:gridCol w:w="6632"/>
      </w:tblGrid>
      <w:tr>
        <w:tc>
          <w:tcPr>
            <w:tcW w:w="1341" w:type="pct"/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3659" w:type="pct"/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Adres internetowy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>
        <w:tc>
          <w:tcPr>
            <w:tcW w:w="1341" w:type="pct"/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>
        <w:tc>
          <w:tcPr>
            <w:tcW w:w="1341" w:type="pct"/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>
        <w:tc>
          <w:tcPr>
            <w:tcW w:w="1341" w:type="pct"/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Ponadto oświadczamy, że:</w:t>
      </w:r>
    </w:p>
    <w:p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>
      <w:pPr>
        <w:spacing w:line="360" w:lineRule="auto"/>
        <w:ind w:left="45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(wypełniają tylko wykonawcy składający ofertę wspólną)</w:t>
      </w:r>
    </w:p>
    <w:p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>
        <w:rPr>
          <w:rFonts w:ascii="Calibri" w:hAnsi="Calibri" w:cs="Tahoma"/>
          <w:sz w:val="22"/>
          <w:szCs w:val="22"/>
        </w:rPr>
        <w:br/>
        <w:t>w celu ubiegania się o udzielenie zamówienia publicznego w niniejszym postępowaniu.</w:t>
      </w:r>
    </w:p>
    <w:p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Style w:val="Tabela-Siatka"/>
        <w:tblW w:w="0" w:type="auto"/>
        <w:tblInd w:w="76" w:type="dxa"/>
        <w:tblLook w:val="04A0" w:firstRow="1" w:lastRow="0" w:firstColumn="1" w:lastColumn="0" w:noHBand="0" w:noVBand="1"/>
      </w:tblPr>
      <w:tblGrid>
        <w:gridCol w:w="592"/>
        <w:gridCol w:w="8394"/>
      </w:tblGrid>
      <w:tr>
        <w:tc>
          <w:tcPr>
            <w:tcW w:w="592" w:type="dxa"/>
          </w:tcPr>
          <w:p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394" w:type="dxa"/>
          </w:tcPr>
          <w:p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>
        <w:tc>
          <w:tcPr>
            <w:tcW w:w="592" w:type="dxa"/>
          </w:tcPr>
          <w:p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394" w:type="dxa"/>
          </w:tcPr>
          <w:p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>
        <w:tc>
          <w:tcPr>
            <w:tcW w:w="592" w:type="dxa"/>
          </w:tcPr>
          <w:p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394" w:type="dxa"/>
          </w:tcPr>
          <w:p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*niepotrzebne skreślić</w:t>
      </w:r>
    </w:p>
    <w:p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  <w:u w:val="dotted"/>
        </w:rPr>
        <w:tab/>
      </w:r>
      <w:r>
        <w:rPr>
          <w:rFonts w:ascii="Calibri" w:hAnsi="Calibri" w:cs="Tahoma"/>
          <w:sz w:val="22"/>
          <w:szCs w:val="22"/>
        </w:rPr>
        <w:t xml:space="preserve"> dnia </w:t>
      </w:r>
      <w:r>
        <w:rPr>
          <w:rFonts w:ascii="Calibri" w:hAnsi="Calibri" w:cs="Tahoma"/>
          <w:sz w:val="22"/>
          <w:szCs w:val="22"/>
          <w:u w:val="dotted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  <w:u w:val="dotted"/>
        </w:rPr>
        <w:tab/>
      </w:r>
    </w:p>
    <w:p>
      <w:pPr>
        <w:ind w:left="5529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560" w:left="1417" w:header="708" w:footer="5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>
    <w:pPr>
      <w:pStyle w:val="Stopka"/>
      <w:tabs>
        <w:tab w:val="clear" w:pos="4536"/>
      </w:tabs>
      <w:jc w:val="center"/>
    </w:pPr>
  </w:p>
  <w:p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id="1">
    <w:p>
      <w:pPr>
        <w:pStyle w:val="Tekstprzypisudolnego"/>
        <w:spacing w:line="240" w:lineRule="auto"/>
        <w:rPr>
          <w:rFonts w:asciiTheme="minorHAnsi" w:hAnsiTheme="minorHAnsi" w:cstheme="minorHAnsi"/>
          <w:sz w:val="16"/>
          <w:szCs w:val="16"/>
        </w:rPr>
      </w:pPr>
      <w:r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>
        <w:rPr>
          <w:rFonts w:asciiTheme="minorHAnsi" w:hAnsiTheme="minorHAnsi" w:cstheme="minorHAnsi"/>
          <w:sz w:val="16"/>
          <w:szCs w:val="16"/>
        </w:rPr>
        <w:t xml:space="preserve"> Niepotrzebne skreślić. W przypadku podmiotów wspólnie ubiegających się o zamówienie proszę o podanie informacji o wszystkich podmiotach.</w:t>
      </w:r>
    </w:p>
  </w:footnote>
  <w:footnote w:id="2">
    <w:p>
      <w:pPr>
        <w:pStyle w:val="Tekstprzypisudolnego"/>
        <w:spacing w:line="240" w:lineRule="auto"/>
        <w:rPr>
          <w:rFonts w:asciiTheme="minorHAnsi" w:hAnsiTheme="minorHAnsi" w:cstheme="minorHAnsi"/>
          <w:sz w:val="16"/>
          <w:szCs w:val="16"/>
        </w:rPr>
      </w:pPr>
      <w:r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>
        <w:rPr>
          <w:rFonts w:asciiTheme="minorHAnsi" w:hAnsiTheme="minorHAnsi" w:cstheme="minorHAnsi"/>
          <w:sz w:val="16"/>
          <w:szCs w:val="16"/>
        </w:rPr>
        <w:t xml:space="preserve"> Mikroprzedsiębiorstwo: przedsiębiorstwo, które zatrudnia mniej niż 10 osób i którego roczny obrót lub roczna suma bilansowa nie przekracza 2 milionów EUR.</w:t>
      </w:r>
    </w:p>
    <w:p>
      <w:pPr>
        <w:pStyle w:val="Tekstprzypisudolnego"/>
        <w:spacing w:line="240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>
      <w:pPr>
        <w:pStyle w:val="Tekstprzypisudolnego"/>
        <w:spacing w:line="240" w:lineRule="auto"/>
      </w:pPr>
      <w:r>
        <w:rPr>
          <w:rFonts w:asciiTheme="minorHAnsi" w:hAnsiTheme="minorHAnsi" w:cstheme="minorHAnsi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452.75pt;height:562.3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>
    <w:pPr>
      <w:tabs>
        <w:tab w:val="center" w:pos="4536"/>
        <w:tab w:val="right" w:pos="9072"/>
      </w:tabs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>
    <w:pPr>
      <w:tabs>
        <w:tab w:val="center" w:pos="4536"/>
        <w:tab w:val="right" w:pos="9072"/>
      </w:tabs>
      <w:spacing w:after="120"/>
      <w:jc w:val="center"/>
    </w:pPr>
    <w:r>
      <w:rPr>
        <w:rFonts w:ascii="Tahoma" w:hAnsi="Tahoma" w:cs="Tahoma"/>
        <w:i/>
      </w:rPr>
      <w:t>Limit na gwarancje bankowe</w:t>
    </w: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95250</wp:posOffset>
              </wp:positionH>
              <wp:positionV relativeFrom="paragraph">
                <wp:posOffset>171450</wp:posOffset>
              </wp:positionV>
              <wp:extent cx="5600700" cy="635"/>
              <wp:effectExtent l="5080" t="8890" r="13970" b="9525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pt,13.5pt" to="448.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"/>
          </w:pict>
        </mc:Fallback>
      </mc:AlternateContent>
    </w:r>
  </w:p>
  <w:p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2.75pt;height:562.3pt;z-index:-2516597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3A788A9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8"/>
        <w:szCs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2" w15:restartNumberingAfterBreak="0">
    <w:nsid w:val="1FA536DD"/>
    <w:multiLevelType w:val="hybridMultilevel"/>
    <w:tmpl w:val="5ADE7D2E"/>
    <w:lvl w:ilvl="0" w:tplc="E3000B0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Calibri" w:eastAsia="Times New Roman" w:hAnsi="Calibri" w:cs="Calibri" w:hint="default"/>
        <w:b w:val="0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2A17BF"/>
    <w:multiLevelType w:val="hybridMultilevel"/>
    <w:tmpl w:val="4FAE5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917CB2"/>
    <w:multiLevelType w:val="hybridMultilevel"/>
    <w:tmpl w:val="33EAF5BE"/>
    <w:lvl w:ilvl="0" w:tplc="04150017">
      <w:start w:val="1"/>
      <w:numFmt w:val="lowerLetter"/>
      <w:lvlText w:val="%1)"/>
      <w:lvlJc w:val="left"/>
      <w:pPr>
        <w:ind w:left="1514" w:hanging="360"/>
      </w:p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6" w15:restartNumberingAfterBreak="0">
    <w:nsid w:val="46CA6FAE"/>
    <w:multiLevelType w:val="hybridMultilevel"/>
    <w:tmpl w:val="BA46A184"/>
    <w:lvl w:ilvl="0" w:tplc="6772E3E0">
      <w:start w:val="81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9678AB"/>
    <w:multiLevelType w:val="hybridMultilevel"/>
    <w:tmpl w:val="4FAE5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757FD25-F2B0-4DCF-BCEC-0EEA7D6B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locked/>
    <w:rPr>
      <w:lang w:val="pl-PL" w:eastAsia="pl-PL" w:bidi="ar-SA"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pPr>
      <w:spacing w:after="120"/>
    </w:pPr>
  </w:style>
  <w:style w:type="character" w:customStyle="1" w:styleId="Nagwek6Znak">
    <w:name w:val="Nagłówek 6 Znak"/>
    <w:link w:val="Nagwek6"/>
    <w:semiHidden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</w:style>
  <w:style w:type="paragraph" w:styleId="Akapitzlist">
    <w:name w:val="List Paragraph"/>
    <w:basedOn w:val="Normalny"/>
    <w:uiPriority w:val="34"/>
    <w:qFormat/>
    <w:pPr>
      <w:suppressAutoHyphens/>
      <w:ind w:left="708"/>
    </w:pPr>
    <w:rPr>
      <w:sz w:val="24"/>
      <w:szCs w:val="24"/>
      <w:lang w:eastAsia="zh-CN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</w:style>
  <w:style w:type="character" w:customStyle="1" w:styleId="TekstkomentarzaZnak">
    <w:name w:val="Tekst komentarza Znak"/>
    <w:basedOn w:val="Domylnaczcionkaakapitu"/>
    <w:link w:val="Tekstkomentarza"/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1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96147-5CA8-4671-85EF-E28873066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726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Paweł Bień</cp:lastModifiedBy>
  <cp:revision>3</cp:revision>
  <cp:lastPrinted>2014-10-22T10:05:00Z</cp:lastPrinted>
  <dcterms:created xsi:type="dcterms:W3CDTF">2020-05-14T09:06:00Z</dcterms:created>
  <dcterms:modified xsi:type="dcterms:W3CDTF">2020-05-14T09:13:00Z</dcterms:modified>
</cp:coreProperties>
</file>