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CRZP/200/2019/AEZ/1</w:t>
      </w:r>
      <w:r w:rsidR="00D51468">
        <w:rPr>
          <w:rFonts w:ascii="Century Schoolbook" w:eastAsia="Calibri" w:hAnsi="Century Schoolbook"/>
          <w:b/>
          <w:bCs/>
          <w:sz w:val="20"/>
          <w:lang w:eastAsia="en-US"/>
        </w:rPr>
        <w:t>7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2020-01-2</w:t>
      </w:r>
      <w:r w:rsidR="00D51468">
        <w:rPr>
          <w:rFonts w:ascii="Century Schoolbook" w:eastAsia="Calibri" w:hAnsi="Century Schoolbook"/>
          <w:sz w:val="20"/>
          <w:szCs w:val="22"/>
          <w:lang w:eastAsia="en-US"/>
        </w:rPr>
        <w:t>8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:rsidR="00F13CC8" w:rsidRPr="00F13CC8" w:rsidRDefault="00F13CC8" w:rsidP="00A06E32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D51468">
        <w:rPr>
          <w:rFonts w:ascii="Century Schoolbook" w:eastAsia="Calibri" w:hAnsi="Century Schoolbook"/>
          <w:b/>
          <w:sz w:val="22"/>
          <w:lang w:eastAsia="en-US"/>
        </w:rPr>
        <w:t>8</w:t>
      </w:r>
    </w:p>
    <w:p w:rsidR="00A06E32" w:rsidRPr="00F13CC8" w:rsidRDefault="00A06E32" w:rsidP="00A06E32">
      <w:pPr>
        <w:widowControl w:val="0"/>
        <w:spacing w:before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06181">
        <w:rPr>
          <w:rFonts w:ascii="Century Schoolbook" w:eastAsia="Calibri" w:hAnsi="Century Schoolbook"/>
          <w:b/>
          <w:sz w:val="22"/>
          <w:highlight w:val="yellow"/>
          <w:lang w:eastAsia="en-US"/>
        </w:rPr>
        <w:t>(aktualizacja 1</w:t>
      </w:r>
      <w:r w:rsidR="00FF5793">
        <w:rPr>
          <w:rFonts w:ascii="Century Schoolbook" w:eastAsia="Calibri" w:hAnsi="Century Schoolbook"/>
          <w:b/>
          <w:sz w:val="22"/>
          <w:highlight w:val="yellow"/>
          <w:lang w:eastAsia="en-US"/>
        </w:rPr>
        <w:t>4</w:t>
      </w:r>
      <w:bookmarkStart w:id="0" w:name="_GoBack"/>
      <w:bookmarkEnd w:id="0"/>
      <w:r w:rsidRPr="00F06181">
        <w:rPr>
          <w:rFonts w:ascii="Century Schoolbook" w:eastAsia="Calibri" w:hAnsi="Century Schoolbook"/>
          <w:b/>
          <w:sz w:val="22"/>
          <w:highlight w:val="yellow"/>
          <w:lang w:eastAsia="en-US"/>
        </w:rPr>
        <w:t>.02)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2020-01-2</w:t>
      </w:r>
      <w:r w:rsidR="00D51468">
        <w:rPr>
          <w:rFonts w:ascii="Century Schoolbook" w:eastAsia="Calibri" w:hAnsi="Century Schoolbook"/>
          <w:sz w:val="22"/>
          <w:lang w:eastAsia="en-US"/>
        </w:rPr>
        <w:t>8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:rsid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:rsidR="00D51468" w:rsidRDefault="00D51468" w:rsidP="00D51468">
      <w:p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  <w:u w:val="single"/>
        </w:rPr>
      </w:pPr>
    </w:p>
    <w:p w:rsidR="000A5F09" w:rsidRPr="000A5F09" w:rsidRDefault="000A5F09" w:rsidP="000A5F09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Century Schoolbook" w:hAnsi="Century Schoolbook"/>
          <w:bCs/>
          <w:iCs/>
          <w:sz w:val="22"/>
          <w:szCs w:val="20"/>
        </w:rPr>
      </w:pPr>
      <w:r w:rsidRPr="000A5F09">
        <w:rPr>
          <w:rFonts w:ascii="Century Schoolbook" w:hAnsi="Century Schoolbook"/>
          <w:bCs/>
          <w:iCs/>
          <w:sz w:val="22"/>
          <w:szCs w:val="20"/>
        </w:rPr>
        <w:t>Czy oferta powinna obejmować elewację zieloną, czy elewacja zielona jest poza zakresem oferty?</w:t>
      </w:r>
    </w:p>
    <w:p w:rsidR="000A5F09" w:rsidRPr="000A5F09" w:rsidRDefault="000A5F09" w:rsidP="000A5F09">
      <w:p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  <w:szCs w:val="20"/>
        </w:rPr>
      </w:pPr>
    </w:p>
    <w:p w:rsidR="00B77AE9" w:rsidRPr="00B77AE9" w:rsidRDefault="00B77AE9" w:rsidP="00B77AE9">
      <w:pPr>
        <w:autoSpaceDE w:val="0"/>
        <w:autoSpaceDN w:val="0"/>
        <w:adjustRightInd w:val="0"/>
        <w:ind w:firstLine="426"/>
        <w:jc w:val="both"/>
        <w:rPr>
          <w:rFonts w:ascii="Century Schoolbook" w:hAnsi="Century Schoolbook"/>
          <w:color w:val="4F81BD" w:themeColor="accent1"/>
          <w:sz w:val="22"/>
        </w:rPr>
      </w:pPr>
      <w:r w:rsidRPr="00B77AE9">
        <w:rPr>
          <w:rFonts w:ascii="Times New Roman" w:hAnsi="Times New Roman"/>
          <w:highlight w:val="yellow"/>
        </w:rPr>
        <w:t>Odpowiedź:</w:t>
      </w:r>
      <w:r w:rsidRPr="00B77AE9">
        <w:rPr>
          <w:rFonts w:ascii="Times New Roman" w:eastAsia="Calibri" w:hAnsi="Times New Roman"/>
          <w:highlight w:val="yellow"/>
          <w:lang w:eastAsia="en-US"/>
        </w:rPr>
        <w:t xml:space="preserve"> </w:t>
      </w:r>
      <w:r w:rsidRPr="00B77AE9">
        <w:rPr>
          <w:rFonts w:ascii="Times New Roman" w:hAnsi="Times New Roman"/>
          <w:b/>
          <w:highlight w:val="yellow"/>
        </w:rPr>
        <w:t>Oferta ma obejmować elewację zieloną.</w:t>
      </w:r>
    </w:p>
    <w:p w:rsidR="000A5F09" w:rsidRPr="000A5F09" w:rsidRDefault="000A5F09" w:rsidP="000A5F09">
      <w:p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  <w:szCs w:val="20"/>
        </w:rPr>
      </w:pPr>
    </w:p>
    <w:p w:rsidR="000A5F09" w:rsidRPr="000A5F09" w:rsidRDefault="000A5F09" w:rsidP="000A5F09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Century Schoolbook" w:hAnsi="Century Schoolbook"/>
          <w:bCs/>
          <w:iCs/>
          <w:sz w:val="22"/>
          <w:szCs w:val="20"/>
        </w:rPr>
      </w:pPr>
      <w:r w:rsidRPr="000A5F09">
        <w:rPr>
          <w:rFonts w:ascii="Century Schoolbook" w:hAnsi="Century Schoolbook"/>
          <w:bCs/>
          <w:iCs/>
          <w:sz w:val="22"/>
          <w:szCs w:val="20"/>
        </w:rPr>
        <w:t>Czy oferta powinna obejmować elewację zieloną na Etapie 1 i Etapie 2? Na projekcie Zieleni PAS-116-PW-PZT-ZIEL-03 zazielenienie elewacji wskazano tylko przy jednym budynku.</w:t>
      </w:r>
    </w:p>
    <w:p w:rsidR="000A5F09" w:rsidRPr="000A5F09" w:rsidRDefault="000A5F09" w:rsidP="000A5F09">
      <w:p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  <w:szCs w:val="20"/>
        </w:rPr>
      </w:pPr>
    </w:p>
    <w:p w:rsidR="00B77AE9" w:rsidRPr="00B77AE9" w:rsidRDefault="00B77AE9" w:rsidP="00B77AE9">
      <w:pPr>
        <w:autoSpaceDE w:val="0"/>
        <w:autoSpaceDN w:val="0"/>
        <w:adjustRightInd w:val="0"/>
        <w:ind w:firstLine="426"/>
        <w:jc w:val="both"/>
        <w:rPr>
          <w:rFonts w:ascii="Century Schoolbook" w:hAnsi="Century Schoolbook"/>
          <w:color w:val="4F81BD" w:themeColor="accent1"/>
          <w:sz w:val="22"/>
        </w:rPr>
      </w:pPr>
      <w:r w:rsidRPr="00B77AE9">
        <w:rPr>
          <w:rFonts w:ascii="Times New Roman" w:hAnsi="Times New Roman"/>
          <w:highlight w:val="yellow"/>
        </w:rPr>
        <w:t>Odpowiedź:</w:t>
      </w:r>
      <w:r w:rsidRPr="00B77AE9">
        <w:rPr>
          <w:rFonts w:ascii="Times New Roman" w:eastAsia="Calibri" w:hAnsi="Times New Roman"/>
          <w:highlight w:val="yellow"/>
          <w:lang w:eastAsia="en-US"/>
        </w:rPr>
        <w:t xml:space="preserve"> </w:t>
      </w:r>
      <w:r w:rsidRPr="00B77AE9">
        <w:rPr>
          <w:rFonts w:ascii="Times New Roman" w:hAnsi="Times New Roman"/>
          <w:b/>
          <w:highlight w:val="yellow"/>
        </w:rPr>
        <w:t>Elewacja zielona występuje tylko w 2 etapie.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:rsidR="000A5F09" w:rsidRPr="000A5F09" w:rsidRDefault="000A5F09" w:rsidP="000A5F09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rFonts w:ascii="Century Schoolbook" w:hAnsi="Century Schoolbook"/>
          <w:sz w:val="22"/>
          <w:szCs w:val="20"/>
        </w:rPr>
      </w:pPr>
      <w:r w:rsidRPr="000A5F09">
        <w:rPr>
          <w:rFonts w:ascii="Century Schoolbook" w:hAnsi="Century Schoolbook"/>
          <w:sz w:val="22"/>
          <w:szCs w:val="20"/>
        </w:rPr>
        <w:t xml:space="preserve">Szanowni Państwo prosimy o dopuszczenie deklaracji producenta na zgodność z PN-EN 61010-1  dot. Stołów Laboratoryjnych (stanowiska robocze wraz z doprowadzonymi mediami) jako dokumentu zamiennego w stosunku do certyfikatu o którym mowa w pkt. 4 </w:t>
      </w:r>
      <w:proofErr w:type="spellStart"/>
      <w:r w:rsidRPr="000A5F09">
        <w:rPr>
          <w:rFonts w:ascii="Century Schoolbook" w:hAnsi="Century Schoolbook"/>
          <w:sz w:val="22"/>
          <w:szCs w:val="20"/>
        </w:rPr>
        <w:t>str</w:t>
      </w:r>
      <w:proofErr w:type="spellEnd"/>
      <w:r w:rsidRPr="000A5F09">
        <w:rPr>
          <w:rFonts w:ascii="Century Schoolbook" w:hAnsi="Century Schoolbook"/>
          <w:sz w:val="22"/>
          <w:szCs w:val="20"/>
        </w:rPr>
        <w:t xml:space="preserve"> 15 Wymagań ogólnych.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:rsidR="00B77AE9" w:rsidRPr="002E4D98" w:rsidRDefault="00B77AE9" w:rsidP="00B77AE9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</w:rPr>
      </w:pPr>
      <w:r w:rsidRPr="002E4D98">
        <w:rPr>
          <w:rFonts w:ascii="Times New Roman" w:hAnsi="Times New Roman"/>
          <w:highlight w:val="yellow"/>
        </w:rPr>
        <w:t>Odpowiedź:</w:t>
      </w:r>
      <w:r w:rsidRPr="002E4D98">
        <w:rPr>
          <w:rFonts w:ascii="Century Schoolbook" w:hAnsi="Century Schoolbook"/>
          <w:color w:val="4F81BD" w:themeColor="accent1"/>
          <w:sz w:val="22"/>
          <w:highlight w:val="yellow"/>
        </w:rPr>
        <w:t xml:space="preserve"> </w:t>
      </w:r>
      <w:r w:rsidRPr="002E4D98">
        <w:rPr>
          <w:rFonts w:ascii="Times New Roman" w:hAnsi="Times New Roman"/>
          <w:b/>
          <w:highlight w:val="yellow"/>
        </w:rPr>
        <w:t xml:space="preserve">Meble laboratoryjne nie są objęte tą procedurą przetargową. 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:rsidR="000A5F09" w:rsidRPr="000A5F09" w:rsidRDefault="000A5F09" w:rsidP="000A5F09">
      <w:p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  <w:u w:val="single"/>
        </w:rPr>
      </w:pPr>
      <w:r w:rsidRPr="000A5F09">
        <w:rPr>
          <w:rFonts w:ascii="Century Schoolbook" w:hAnsi="Century Schoolbook"/>
          <w:bCs/>
          <w:iCs/>
          <w:sz w:val="22"/>
          <w:u w:val="single"/>
        </w:rPr>
        <w:t>Wykonawca 2: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:rsidR="000A5F09" w:rsidRPr="000A5F09" w:rsidRDefault="000A5F09" w:rsidP="000A5F09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rFonts w:ascii="Times New Roman" w:hAnsi="Times New Roman"/>
          <w:i/>
          <w:iCs/>
          <w:sz w:val="20"/>
          <w:szCs w:val="20"/>
        </w:rPr>
      </w:pPr>
      <w:r w:rsidRPr="000A5F09">
        <w:rPr>
          <w:rFonts w:ascii="Century Schoolbook" w:hAnsi="Century Schoolbook"/>
          <w:sz w:val="22"/>
          <w:szCs w:val="20"/>
        </w:rPr>
        <w:lastRenderedPageBreak/>
        <w:t>W nawiązaniu do zapisów §3 ust. 7 Umowy dotyczących uprawnienia Inwestora do  jednostronnego ograniczenia zakresu Robót, wnioskujemy o zmianę określonego w przedmiotowym ustępie terminu na skorzystanie z takiego uprawnienia na co najmniej 1 miesiąc przed planowanym rozpoczęciem prac stanowiących przedmiot ograniczenia. Zwracamy uwagę, że w przypadku skorzystania przez Inwestora z takiego prawa na 10 dni roboczych przed rozpoczęciem prac stanowiących przedmiot ograniczenia istnieje duże ryzyko, że Wykonawca podjął już zobowiązania lub dokonał zakupu materiałów lub urządzeń w celu realizacji tych prac, a Inwestor nie przewidział zwrotu takich kosztów na rzecz Wykonawcy</w:t>
      </w:r>
      <w:r w:rsidRPr="000A5F09">
        <w:rPr>
          <w:rFonts w:ascii="Times New Roman" w:hAnsi="Times New Roman"/>
          <w:sz w:val="20"/>
          <w:szCs w:val="20"/>
        </w:rPr>
        <w:t>.</w:t>
      </w:r>
    </w:p>
    <w:p w:rsidR="000A5F09" w:rsidRPr="000A5F09" w:rsidRDefault="000A5F09" w:rsidP="000A5F09">
      <w:pPr>
        <w:autoSpaceDE w:val="0"/>
        <w:autoSpaceDN w:val="0"/>
        <w:adjustRightInd w:val="0"/>
        <w:ind w:left="426"/>
        <w:contextualSpacing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W nawiązaniu do zapisu §4 ust. 1 pkt. 7) w celu usprawnienia procesu budowy  prosimy o uzupełnienie, że wnioski materiałowe będą zatwierdzane przez Inżyniera Kontraktu w terminie 7 dni, a brak odpowiedzi w ww. terminie oznacza akceptację wniosku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  <w:i/>
          <w:iCs/>
          <w:sz w:val="20"/>
        </w:rPr>
      </w:pPr>
      <w:r w:rsidRPr="000A5F09">
        <w:rPr>
          <w:rFonts w:ascii="Century Schoolbook" w:hAnsi="Century Schoolbook"/>
          <w:sz w:val="22"/>
          <w:highlight w:val="yellow"/>
        </w:rPr>
        <w:t>Odpowiedź: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spacing w:after="200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Biorąc pod uwagę, że zgodnie z SIWZ termin zakończenia Robót definiowany jest jako wskazana przez Wykonawcę w ofercie liczba miesięcy od daty podpisania umowy, wnioskujemy o uzupełnienie zapisu §5 ust. 1 pkt) 2 poprzez doprecyzowanie, że wyprowadzenie Wykonawcy na Teren Budowy nastąpi nie później niż w ciągu 5 dni od dnia zawarcia umowy oraz zostanie protokolarnie potwierdzone.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</w:t>
      </w:r>
      <w:r w:rsidRPr="000A5F09">
        <w:rPr>
          <w:rFonts w:ascii="Century Schoolbook" w:hAnsi="Century Schoolbook"/>
          <w:sz w:val="22"/>
        </w:rPr>
        <w:t>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 xml:space="preserve">Odpowiednio zmieniono zapis w </w:t>
      </w:r>
      <w:r w:rsidRPr="000A5F09">
        <w:rPr>
          <w:rFonts w:ascii="Univers" w:eastAsia="Calibri" w:hAnsi="Univers"/>
          <w:sz w:val="20"/>
          <w:szCs w:val="20"/>
          <w:lang w:eastAsia="en-US"/>
        </w:rPr>
        <w:t>§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 xml:space="preserve"> 5 ust. 1 pkt 2</w:t>
      </w:r>
      <w:r w:rsidRPr="000A5F09">
        <w:rPr>
          <w:rFonts w:ascii="Century Schoolbook" w:eastAsia="Calibri" w:hAnsi="Century Schoolbook"/>
          <w:lang w:eastAsia="en-US"/>
        </w:rPr>
        <w:t xml:space="preserve">,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zał. nr 7, tj. Umowy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W nawiązaniu do zapisów §8 ust. 3 pkt 1) – 3) zwracamy uwagę, że biorąc pod uwagę określoną w Umowie procedurę zgłaszania podwykonawców, w terminie 28 dni od daty zawarcia Wykonawca nie będzie posiadać jeszcze wszystkich informacji wymaganych do sporządzenia Wykazu podwykonawców, w związku z powyższym proponujemy, aby Wykonawca był zobowiązany do przekazywania takich aktualnych wykazów wraz z Protokołami Zaawansowania Robót w cyklach miesięcy kalendarzowych.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</w:t>
      </w:r>
      <w:r w:rsidRPr="000A5F09">
        <w:rPr>
          <w:rFonts w:ascii="Century Schoolbook" w:hAnsi="Century Schoolbook"/>
          <w:sz w:val="22"/>
        </w:rPr>
        <w:t>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Zwracamy uwagę, że naruszenie Wykonawcy stanowiące podstawę do skorzystania przez Inwestora z prawa do zlecenia wykonania zastępczego zostało określone w §17 ust. 6 Umowy bardzo nieprecyzyjnie. W związku z powyższym wnioskujemy o doprecyzowanie, że Inwestor będzie mieć prawo do  zlecenia wykonania danego zakresu Robót osobie trzeciej na koszt i ryzyko Wykonawcy bez upoważnienia sądowego, o ile Wykonawca będzie w zwłoce w wykonaniu danego zakresu Robót powyżej 30 dni od terminu ustalonego w Harmonogramie.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</w:t>
      </w:r>
      <w:r w:rsidRPr="000A5F09">
        <w:rPr>
          <w:rFonts w:ascii="Century Schoolbook" w:hAnsi="Century Schoolbook"/>
          <w:sz w:val="22"/>
        </w:rPr>
        <w:t>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spacing w:after="200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Wnioskujemy o uzupełnienie zapisu §18 ust. 3 poprzez wskazanie, że Wykonawca jest uprawniony do odstąpienia w terminie 60 dni od dnia licząc od dnia zaistnienia okoliczności wskazanej w przedmiotowym ustępie, a umowne prawo do odstąpienia wykonywa się przez złożenie przez Wykonawcę pisemnego oświadczenia Inwestorowi.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 xml:space="preserve"> 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Zwracamy uwagę, że w §18 ust. 4 pkt 3) i 4) zostały określone w zasadzie te same naruszenia Wykonawcy stanowiące przesłanki uprawniające Inwestora do odstąpienia do umowy, w związku z czym wnioskujemy o wykreślenie przesłanki wskazanej w pkt 3).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  <w:i/>
          <w:iCs/>
          <w:sz w:val="20"/>
        </w:rPr>
      </w:pPr>
    </w:p>
    <w:p w:rsidR="000A5F09" w:rsidRPr="000A5F09" w:rsidRDefault="000A5F09" w:rsidP="000A5F09">
      <w:pPr>
        <w:spacing w:after="200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W zapisach § 17 ust. 1 pkt. 1) i 2) Umowy odnoszących się do kar umownych określanych za każdy dzień opóźnienia prosimy o doprecyzowanie, iż kary dotyczą opóźnień z przyczyn, za które odpowiedzialność ponosi Wykonawca lub też o zmianę określenia „opóźnienia” na „zwłokę”.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  <w:i/>
          <w:iCs/>
          <w:sz w:val="20"/>
        </w:rPr>
      </w:pPr>
    </w:p>
    <w:p w:rsidR="000A5F09" w:rsidRPr="000A5F09" w:rsidRDefault="000A5F09" w:rsidP="000A5F09">
      <w:pPr>
        <w:spacing w:after="200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0A5F09" w:rsidRPr="000A5F09" w:rsidRDefault="000A5F09" w:rsidP="000A5F09">
      <w:pPr>
        <w:numPr>
          <w:ilvl w:val="0"/>
          <w:numId w:val="7"/>
        </w:numPr>
        <w:spacing w:after="200" w:line="276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  <w:r w:rsidRPr="000A5F09">
        <w:rPr>
          <w:rFonts w:ascii="Century Schoolbook" w:eastAsia="Calibri" w:hAnsi="Century Schoolbook"/>
          <w:sz w:val="22"/>
          <w:szCs w:val="20"/>
          <w:lang w:eastAsia="en-US"/>
        </w:rPr>
        <w:t>Biorąc pod uwagę wskazane przez Inwestora w §25 ust. 2 okoliczności wprowadzenia zmian umowy w między innymi w zakresie zmiany terminu wykonania przedmiotu umowy, które są uzasadnione przyczynami leżącymi po stronie Inwestora lub innymi przyczynami nie leżącymi po stronie Wykonawcy, a wydłużenie terminu realizacji jest czynnikiem, który w oczywisty wpływa na wysokość wynagrodzenia, które zostało skalkulowane przez Wykonawcę na podstawie dokumentów i warunków znanych na etapie przygotowania oferty, prosimy o wskazanie w §25 ust.  3, że dopuszczona jest również uzasadniona przez Wykonawcę zmiana wynagrodzenia wynikająca z przewidzianej przez Zamawiającego zmiany innych warunków Umowy, w tym w szczególności terminu realizacji Przedmiotu Umowy, a także uzgodnienia w zakresie wykonania robót dodatkowych lub zamiennych zgodnie z §12 ust. 7.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  <w:r w:rsidRPr="000A5F09">
        <w:rPr>
          <w:rFonts w:ascii="Century Schoolbook" w:hAnsi="Century Schoolbook"/>
          <w:sz w:val="22"/>
          <w:highlight w:val="yellow"/>
        </w:rPr>
        <w:t>Odpowiedź</w:t>
      </w:r>
      <w:r w:rsidRPr="000A5F09">
        <w:rPr>
          <w:rFonts w:ascii="Century Schoolbook" w:hAnsi="Century Schoolbook"/>
          <w:sz w:val="22"/>
        </w:rPr>
        <w:t>:</w:t>
      </w:r>
      <w:r w:rsidRPr="000A5F09">
        <w:rPr>
          <w:rFonts w:ascii="Century Schoolbook" w:eastAsia="Calibri" w:hAnsi="Century Schoolbook"/>
          <w:sz w:val="22"/>
          <w:lang w:eastAsia="en-US"/>
        </w:rPr>
        <w:t xml:space="preserve"> </w:t>
      </w:r>
      <w:r w:rsidRPr="000A5F09">
        <w:rPr>
          <w:rFonts w:ascii="Century Schoolbook" w:eastAsia="Calibri" w:hAnsi="Century Schoolbook"/>
          <w:sz w:val="20"/>
          <w:szCs w:val="20"/>
          <w:lang w:eastAsia="en-US"/>
        </w:rPr>
        <w:t>Zamawiający nie wyraża zgody na proponowane zmiany</w:t>
      </w:r>
      <w:r w:rsidRPr="000A5F09">
        <w:rPr>
          <w:rFonts w:ascii="Century Schoolbook" w:eastAsia="Calibri" w:hAnsi="Century Schoolbook"/>
          <w:lang w:eastAsia="en-US"/>
        </w:rPr>
        <w:t>.</w:t>
      </w:r>
    </w:p>
    <w:p w:rsidR="000A5F09" w:rsidRPr="000A5F09" w:rsidRDefault="000A5F09" w:rsidP="000A5F09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0A5F09" w:rsidRPr="000A5F09" w:rsidRDefault="000A5F09" w:rsidP="000A5F09">
      <w:pPr>
        <w:spacing w:after="200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0A5F09" w:rsidRPr="000A5F09" w:rsidRDefault="000A5F09" w:rsidP="000A5F09">
      <w:pPr>
        <w:spacing w:after="200" w:line="360" w:lineRule="auto"/>
        <w:ind w:left="426"/>
        <w:jc w:val="both"/>
        <w:rPr>
          <w:rFonts w:ascii="Century Schoolbook" w:eastAsia="Calibri" w:hAnsi="Century Schoolbook"/>
          <w:sz w:val="22"/>
          <w:szCs w:val="20"/>
          <w:lang w:eastAsia="en-US"/>
        </w:rPr>
      </w:pPr>
    </w:p>
    <w:p w:rsidR="000A5F09" w:rsidRPr="000A5F09" w:rsidRDefault="000A5F09" w:rsidP="000A5F09">
      <w:p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0A5F09" w:rsidRPr="000A5F09" w:rsidRDefault="000A5F09" w:rsidP="000A5F0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51468" w:rsidRPr="00D51468" w:rsidRDefault="00D51468" w:rsidP="00D51468">
      <w:pPr>
        <w:pStyle w:val="Akapitzlist"/>
        <w:spacing w:after="200"/>
        <w:ind w:left="426"/>
        <w:jc w:val="both"/>
        <w:rPr>
          <w:rFonts w:ascii="Century Schoolbook" w:eastAsia="Calibri" w:hAnsi="Century Schoolbook"/>
          <w:sz w:val="22"/>
          <w:lang w:eastAsia="en-US"/>
        </w:rPr>
      </w:pPr>
    </w:p>
    <w:sectPr w:rsidR="00D51468" w:rsidRPr="00D51468" w:rsidSect="004B741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7CE" w:rsidRDefault="00A357CE">
      <w:r>
        <w:separator/>
      </w:r>
    </w:p>
  </w:endnote>
  <w:endnote w:type="continuationSeparator" w:id="0">
    <w:p w:rsidR="00A357CE" w:rsidRDefault="00A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Times New Roman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48CDC76C" wp14:editId="19685679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7018BE75" wp14:editId="004F8306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7CE" w:rsidRDefault="00A357CE">
      <w:r>
        <w:separator/>
      </w:r>
    </w:p>
  </w:footnote>
  <w:footnote w:type="continuationSeparator" w:id="0">
    <w:p w:rsidR="00A357CE" w:rsidRDefault="00A35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7F3" w:rsidRDefault="009D27F3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252F6A59" wp14:editId="270F8C8F">
          <wp:simplePos x="0" y="0"/>
          <wp:positionH relativeFrom="page">
            <wp:posOffset>417830</wp:posOffset>
          </wp:positionH>
          <wp:positionV relativeFrom="page">
            <wp:posOffset>119823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52CA2A6F" wp14:editId="30CAD34B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A114CE8"/>
    <w:multiLevelType w:val="hybridMultilevel"/>
    <w:tmpl w:val="906E5236"/>
    <w:lvl w:ilvl="0" w:tplc="AE48B3F0">
      <w:start w:val="1"/>
      <w:numFmt w:val="decimal"/>
      <w:lvlText w:val="%1."/>
      <w:lvlJc w:val="left"/>
      <w:pPr>
        <w:ind w:left="720" w:hanging="360"/>
      </w:pPr>
      <w:rPr>
        <w:rFonts w:ascii="Century Schoolbook" w:hAnsi="Century Schoolbook"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7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16B4"/>
    <w:rsid w:val="00031AA3"/>
    <w:rsid w:val="00032ED2"/>
    <w:rsid w:val="00033D8B"/>
    <w:rsid w:val="00035373"/>
    <w:rsid w:val="00037A70"/>
    <w:rsid w:val="00044508"/>
    <w:rsid w:val="000727E4"/>
    <w:rsid w:val="00074814"/>
    <w:rsid w:val="00081E99"/>
    <w:rsid w:val="000A5F09"/>
    <w:rsid w:val="000B6591"/>
    <w:rsid w:val="000D78BE"/>
    <w:rsid w:val="000F4798"/>
    <w:rsid w:val="00100CC7"/>
    <w:rsid w:val="001051F2"/>
    <w:rsid w:val="001064A9"/>
    <w:rsid w:val="00113A86"/>
    <w:rsid w:val="00115108"/>
    <w:rsid w:val="00122BEE"/>
    <w:rsid w:val="00131BC3"/>
    <w:rsid w:val="00137E62"/>
    <w:rsid w:val="00147ECE"/>
    <w:rsid w:val="00162AA6"/>
    <w:rsid w:val="00171CCD"/>
    <w:rsid w:val="00180D12"/>
    <w:rsid w:val="00181321"/>
    <w:rsid w:val="001A01FC"/>
    <w:rsid w:val="001A2BDC"/>
    <w:rsid w:val="001B2EC2"/>
    <w:rsid w:val="001C149B"/>
    <w:rsid w:val="001D2AEE"/>
    <w:rsid w:val="001D50F7"/>
    <w:rsid w:val="001D662C"/>
    <w:rsid w:val="001F5E74"/>
    <w:rsid w:val="001F5F8B"/>
    <w:rsid w:val="00201385"/>
    <w:rsid w:val="00216B29"/>
    <w:rsid w:val="00226528"/>
    <w:rsid w:val="00251C92"/>
    <w:rsid w:val="00267AAE"/>
    <w:rsid w:val="002762F2"/>
    <w:rsid w:val="002836D3"/>
    <w:rsid w:val="00292559"/>
    <w:rsid w:val="00297A7B"/>
    <w:rsid w:val="002A1E55"/>
    <w:rsid w:val="002D03E6"/>
    <w:rsid w:val="002D1D44"/>
    <w:rsid w:val="002D2864"/>
    <w:rsid w:val="002E4D98"/>
    <w:rsid w:val="002E78DA"/>
    <w:rsid w:val="002F2379"/>
    <w:rsid w:val="00326241"/>
    <w:rsid w:val="00340A61"/>
    <w:rsid w:val="00340B67"/>
    <w:rsid w:val="00356049"/>
    <w:rsid w:val="00365B61"/>
    <w:rsid w:val="0039518E"/>
    <w:rsid w:val="003A0D64"/>
    <w:rsid w:val="003A7B7A"/>
    <w:rsid w:val="003B7E1B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82B"/>
    <w:rsid w:val="0051210C"/>
    <w:rsid w:val="00535E05"/>
    <w:rsid w:val="0056797B"/>
    <w:rsid w:val="00571A4F"/>
    <w:rsid w:val="00576838"/>
    <w:rsid w:val="005776EA"/>
    <w:rsid w:val="00591FDD"/>
    <w:rsid w:val="00592E40"/>
    <w:rsid w:val="005A13DF"/>
    <w:rsid w:val="005B47C9"/>
    <w:rsid w:val="005C1AC6"/>
    <w:rsid w:val="005C7758"/>
    <w:rsid w:val="005D70D5"/>
    <w:rsid w:val="005E251E"/>
    <w:rsid w:val="005F4D3D"/>
    <w:rsid w:val="00601AA6"/>
    <w:rsid w:val="00604DE7"/>
    <w:rsid w:val="00631F68"/>
    <w:rsid w:val="00632FC3"/>
    <w:rsid w:val="00640962"/>
    <w:rsid w:val="00683949"/>
    <w:rsid w:val="00683D0D"/>
    <w:rsid w:val="00687D11"/>
    <w:rsid w:val="006975A4"/>
    <w:rsid w:val="00697CC0"/>
    <w:rsid w:val="006A171A"/>
    <w:rsid w:val="006A2843"/>
    <w:rsid w:val="006A3EBB"/>
    <w:rsid w:val="006A4400"/>
    <w:rsid w:val="006B48E9"/>
    <w:rsid w:val="006C3203"/>
    <w:rsid w:val="006E64A8"/>
    <w:rsid w:val="006E73CE"/>
    <w:rsid w:val="006F00D0"/>
    <w:rsid w:val="006F3F88"/>
    <w:rsid w:val="007069C3"/>
    <w:rsid w:val="00706F5D"/>
    <w:rsid w:val="0071249D"/>
    <w:rsid w:val="0073462B"/>
    <w:rsid w:val="00756094"/>
    <w:rsid w:val="00763196"/>
    <w:rsid w:val="00772DDC"/>
    <w:rsid w:val="00783DEF"/>
    <w:rsid w:val="00795748"/>
    <w:rsid w:val="007A043A"/>
    <w:rsid w:val="007B53C7"/>
    <w:rsid w:val="007D2DDA"/>
    <w:rsid w:val="007F31D8"/>
    <w:rsid w:val="00815847"/>
    <w:rsid w:val="00820746"/>
    <w:rsid w:val="00831AF4"/>
    <w:rsid w:val="008342D0"/>
    <w:rsid w:val="00837099"/>
    <w:rsid w:val="008407C2"/>
    <w:rsid w:val="00843556"/>
    <w:rsid w:val="0084367C"/>
    <w:rsid w:val="0084591E"/>
    <w:rsid w:val="00846FFF"/>
    <w:rsid w:val="008669AE"/>
    <w:rsid w:val="00871BBA"/>
    <w:rsid w:val="008832A1"/>
    <w:rsid w:val="00883483"/>
    <w:rsid w:val="008A12EF"/>
    <w:rsid w:val="008B7978"/>
    <w:rsid w:val="008C184A"/>
    <w:rsid w:val="008E265C"/>
    <w:rsid w:val="008E47D5"/>
    <w:rsid w:val="008F4E70"/>
    <w:rsid w:val="009046C4"/>
    <w:rsid w:val="009439A1"/>
    <w:rsid w:val="00970DC8"/>
    <w:rsid w:val="009724E9"/>
    <w:rsid w:val="00994FA9"/>
    <w:rsid w:val="009B0EC3"/>
    <w:rsid w:val="009D27F3"/>
    <w:rsid w:val="009E104A"/>
    <w:rsid w:val="009E5B74"/>
    <w:rsid w:val="009E669B"/>
    <w:rsid w:val="009E6DBA"/>
    <w:rsid w:val="00A00961"/>
    <w:rsid w:val="00A06257"/>
    <w:rsid w:val="00A06E32"/>
    <w:rsid w:val="00A1249D"/>
    <w:rsid w:val="00A20592"/>
    <w:rsid w:val="00A33FE3"/>
    <w:rsid w:val="00A3506F"/>
    <w:rsid w:val="00A357CE"/>
    <w:rsid w:val="00A37ECF"/>
    <w:rsid w:val="00A403D6"/>
    <w:rsid w:val="00A40F41"/>
    <w:rsid w:val="00A56A53"/>
    <w:rsid w:val="00A56ADF"/>
    <w:rsid w:val="00A652DC"/>
    <w:rsid w:val="00AB0968"/>
    <w:rsid w:val="00AC03D9"/>
    <w:rsid w:val="00AC0D94"/>
    <w:rsid w:val="00AC5ED3"/>
    <w:rsid w:val="00AD1084"/>
    <w:rsid w:val="00AD1B3D"/>
    <w:rsid w:val="00AE7AA2"/>
    <w:rsid w:val="00AF08FA"/>
    <w:rsid w:val="00AF2AE3"/>
    <w:rsid w:val="00AF344F"/>
    <w:rsid w:val="00B13580"/>
    <w:rsid w:val="00B21166"/>
    <w:rsid w:val="00B42467"/>
    <w:rsid w:val="00B72188"/>
    <w:rsid w:val="00B74F98"/>
    <w:rsid w:val="00B77AE9"/>
    <w:rsid w:val="00B821F4"/>
    <w:rsid w:val="00B8324B"/>
    <w:rsid w:val="00BA25EA"/>
    <w:rsid w:val="00BA41B3"/>
    <w:rsid w:val="00BA54DE"/>
    <w:rsid w:val="00BB1682"/>
    <w:rsid w:val="00BB2EED"/>
    <w:rsid w:val="00BB31BF"/>
    <w:rsid w:val="00BB3220"/>
    <w:rsid w:val="00BC105A"/>
    <w:rsid w:val="00BD1357"/>
    <w:rsid w:val="00C051CD"/>
    <w:rsid w:val="00C15D43"/>
    <w:rsid w:val="00C27E57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77913"/>
    <w:rsid w:val="00C807D6"/>
    <w:rsid w:val="00C85D91"/>
    <w:rsid w:val="00C92A4B"/>
    <w:rsid w:val="00CA1FB4"/>
    <w:rsid w:val="00CA3696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51468"/>
    <w:rsid w:val="00D66C71"/>
    <w:rsid w:val="00D67980"/>
    <w:rsid w:val="00D736A5"/>
    <w:rsid w:val="00D90D1C"/>
    <w:rsid w:val="00DA0CC5"/>
    <w:rsid w:val="00DD45E0"/>
    <w:rsid w:val="00DF220D"/>
    <w:rsid w:val="00E03B1B"/>
    <w:rsid w:val="00E14DE0"/>
    <w:rsid w:val="00E309B5"/>
    <w:rsid w:val="00E61AB1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4244"/>
    <w:rsid w:val="00F564C4"/>
    <w:rsid w:val="00F624E8"/>
    <w:rsid w:val="00F81D79"/>
    <w:rsid w:val="00F876B2"/>
    <w:rsid w:val="00FA197A"/>
    <w:rsid w:val="00FA5C9B"/>
    <w:rsid w:val="00FB3A53"/>
    <w:rsid w:val="00FC0B5C"/>
    <w:rsid w:val="00FC1D36"/>
    <w:rsid w:val="00FC5B93"/>
    <w:rsid w:val="00FD7EF6"/>
    <w:rsid w:val="00FF5793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uiPriority w:val="34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uiPriority w:val="34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EDCDF-E4C8-4DA8-A8C1-D1A44E64D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2</cp:revision>
  <cp:lastPrinted>2020-02-14T06:52:00Z</cp:lastPrinted>
  <dcterms:created xsi:type="dcterms:W3CDTF">2020-02-14T06:52:00Z</dcterms:created>
  <dcterms:modified xsi:type="dcterms:W3CDTF">2020-02-14T06:52:00Z</dcterms:modified>
</cp:coreProperties>
</file>