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638" w:rsidRDefault="00CD11CB">
      <w:pPr>
        <w:jc w:val="center"/>
      </w:pPr>
      <w:r>
        <w:rPr>
          <w:rFonts w:ascii="Times New Roman" w:hAnsi="Times New Roman"/>
          <w:b/>
          <w:sz w:val="28"/>
          <w:szCs w:val="28"/>
        </w:rPr>
        <w:t>Załącznik nr A -  Szczegółowy opis przedmiotu Zamówienia</w:t>
      </w:r>
    </w:p>
    <w:p w:rsidR="003F1638" w:rsidRDefault="00CD11CB">
      <w:pPr>
        <w:jc w:val="center"/>
      </w:pPr>
      <w:r>
        <w:rPr>
          <w:rFonts w:ascii="Times New Roman" w:hAnsi="Times New Roman"/>
          <w:b/>
          <w:sz w:val="28"/>
          <w:szCs w:val="28"/>
        </w:rPr>
        <w:t>serwer obliczeniowy typu „</w:t>
      </w:r>
      <w:proofErr w:type="spellStart"/>
      <w:r>
        <w:rPr>
          <w:rFonts w:ascii="Times New Roman" w:hAnsi="Times New Roman"/>
          <w:b/>
          <w:sz w:val="28"/>
          <w:szCs w:val="28"/>
        </w:rPr>
        <w:t>rack</w:t>
      </w:r>
      <w:proofErr w:type="spellEnd"/>
      <w:r>
        <w:rPr>
          <w:rFonts w:ascii="Times New Roman" w:hAnsi="Times New Roman"/>
          <w:b/>
          <w:sz w:val="28"/>
          <w:szCs w:val="28"/>
        </w:rPr>
        <w:t>”  z akceleratorem GPU</w:t>
      </w:r>
    </w:p>
    <w:p w:rsidR="003F1638" w:rsidRDefault="00CD11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Lista: </w:t>
      </w:r>
    </w:p>
    <w:p w:rsidR="003F1638" w:rsidRDefault="00CD11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serwer (jednostka </w:t>
      </w:r>
      <w:proofErr w:type="spellStart"/>
      <w:r>
        <w:rPr>
          <w:rFonts w:ascii="Times New Roman" w:hAnsi="Times New Roman"/>
        </w:rPr>
        <w:t>obliceniowa</w:t>
      </w:r>
      <w:proofErr w:type="spellEnd"/>
      <w:r>
        <w:rPr>
          <w:rFonts w:ascii="Times New Roman" w:hAnsi="Times New Roman"/>
        </w:rPr>
        <w:t>) – nie objęty podatkiem VAT,</w:t>
      </w:r>
    </w:p>
    <w:p w:rsidR="003F1638" w:rsidRDefault="00CD11CB">
      <w:pPr>
        <w:rPr>
          <w:rFonts w:ascii="Times New Roman" w:hAnsi="Times New Roman"/>
        </w:rPr>
      </w:pPr>
      <w:r>
        <w:rPr>
          <w:rFonts w:ascii="Times New Roman" w:hAnsi="Times New Roman"/>
        </w:rPr>
        <w:t>- zasilacz awaryjny – objęty podatkiem VAT,</w:t>
      </w:r>
    </w:p>
    <w:p w:rsidR="003F1638" w:rsidRDefault="00CD11CB">
      <w:pPr>
        <w:rPr>
          <w:rFonts w:ascii="Times New Roman" w:hAnsi="Times New Roman"/>
        </w:rPr>
      </w:pPr>
      <w:r>
        <w:rPr>
          <w:rFonts w:ascii="Times New Roman" w:hAnsi="Times New Roman"/>
        </w:rPr>
        <w:t>- dodatkowy moduł bateryjny do zasilacza awaryjnego – objęty podatkiem VAT,</w:t>
      </w:r>
    </w:p>
    <w:p w:rsidR="00403B33" w:rsidRDefault="00403B33">
      <w:pPr>
        <w:rPr>
          <w:rFonts w:ascii="Times New Roman" w:hAnsi="Times New Roman"/>
        </w:rPr>
      </w:pPr>
      <w:r>
        <w:rPr>
          <w:rFonts w:ascii="Times New Roman" w:hAnsi="Times New Roman"/>
        </w:rPr>
        <w:t>- akcesoria dodatkowe do obsługi serwera: monitor – nie objęty podatkiem VAT</w:t>
      </w:r>
    </w:p>
    <w:p w:rsidR="003F1638" w:rsidRDefault="00CD11CB">
      <w:pPr>
        <w:rPr>
          <w:rFonts w:ascii="Times New Roman" w:hAnsi="Times New Roman"/>
        </w:rPr>
      </w:pPr>
      <w:r>
        <w:rPr>
          <w:rFonts w:ascii="Times New Roman" w:hAnsi="Times New Roman"/>
        </w:rPr>
        <w:t>- akcesori</w:t>
      </w:r>
      <w:bookmarkStart w:id="0" w:name="__DdeLink__1489_1950690129"/>
      <w:r>
        <w:rPr>
          <w:rFonts w:ascii="Times New Roman" w:hAnsi="Times New Roman"/>
        </w:rPr>
        <w:t>a</w:t>
      </w:r>
      <w:bookmarkEnd w:id="0"/>
      <w:r>
        <w:rPr>
          <w:rFonts w:ascii="Times New Roman" w:hAnsi="Times New Roman"/>
        </w:rPr>
        <w:t xml:space="preserve"> dodatkowe do obsługi serwera: klawiatura, mysz – objęte podatkiem VAT.</w:t>
      </w:r>
    </w:p>
    <w:p w:rsidR="003F1638" w:rsidRDefault="003F1638">
      <w:pPr>
        <w:rPr>
          <w:rFonts w:ascii="Times New Roman" w:hAnsi="Times New Roman"/>
        </w:rPr>
      </w:pPr>
    </w:p>
    <w:p w:rsidR="003F1638" w:rsidRDefault="00CD11CB">
      <w:pPr>
        <w:rPr>
          <w:b/>
        </w:rPr>
      </w:pPr>
      <w:r>
        <w:rPr>
          <w:rFonts w:ascii="Times New Roman" w:hAnsi="Times New Roman"/>
          <w:b/>
        </w:rPr>
        <w:t>Serwer (jednostka obliczeniowa) – 1 szt.</w:t>
      </w:r>
    </w:p>
    <w:tbl>
      <w:tblPr>
        <w:tblStyle w:val="Tabela-Siatka"/>
        <w:tblW w:w="9062" w:type="dxa"/>
        <w:tblInd w:w="-5" w:type="dxa"/>
        <w:tblLook w:val="04A0" w:firstRow="1" w:lastRow="0" w:firstColumn="1" w:lastColumn="0" w:noHBand="0" w:noVBand="1"/>
      </w:tblPr>
      <w:tblGrid>
        <w:gridCol w:w="839"/>
        <w:gridCol w:w="11"/>
        <w:gridCol w:w="2548"/>
        <w:gridCol w:w="5664"/>
      </w:tblGrid>
      <w:tr w:rsidR="003F1638">
        <w:trPr>
          <w:trHeight w:val="528"/>
        </w:trPr>
        <w:tc>
          <w:tcPr>
            <w:tcW w:w="85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L.p.</w:t>
            </w:r>
          </w:p>
        </w:tc>
        <w:tc>
          <w:tcPr>
            <w:tcW w:w="254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Cecha</w:t>
            </w:r>
          </w:p>
        </w:tc>
        <w:tc>
          <w:tcPr>
            <w:tcW w:w="5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Wymagania minimalne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Obudowa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1. do zabudowy w szafie serwerowej 19”, plus wszystkie elementy niezbędne do mocowania i wysuwania do celów serwisowych razem z ramieniem do zarzadzania kablami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2. maksymalna wysokość - 3U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3. mieszcząca co najmniej 24 dyski 2.5" hot-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</w:rPr>
              <w:t>swap</w:t>
            </w:r>
            <w:proofErr w:type="spellEnd"/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4. wszystkie wyspecyfikowane elementy serwera muszą być w niej zamontowane, o ile nie określono inaczej,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5. wyprodukowana przez producenta płyty głównej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6. musi istnieć możliwość wyposażenia obudowy w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oryginalną maskownicę producenta serwera chroniącą dyski (front obudowy) </w:t>
            </w:r>
          </w:p>
          <w:p w:rsidR="003F1638" w:rsidRDefault="00CD11CB">
            <w:pPr>
              <w:spacing w:after="0" w:line="240" w:lineRule="auto"/>
              <w:rPr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 musi istnieć możliwość wyposażenia obudowy w czujnik otwarcia obudowy</w:t>
            </w:r>
          </w:p>
          <w:p w:rsidR="003F1638" w:rsidRDefault="003F16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Zasilacz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1. co najmniej 2 szt., nadmiarowe (redundantne)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2. 230V 50Hz, każdy o mocy co najmniej 1600W klasy „Platinum”, o sprawności 94% 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3. hot-plug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Chłodzenie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Nadmiarowe wentylatory typu hot-plug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Płyta główna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z chipsetem dedykowanym przez producenta procesora do pracy w serwerach co najmniej dwuprocesorowych, wspierająca zastosowanie procesorów od 4 do 28 rdzeniowych, mocy do min. 205W i taktowaniu CPU do min. 3.6GHz,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posiadająca co najmniej 4 interfejsy LAN 1Gb RJ45 z funkcją Wake-On-LAN, wsparciem dla PXE, nie zajmujące slotów PCI-e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posiadająca zintegrowaną kartę graficzną z wyjściem VGA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posiadająca dodatkowy dedykowany interfejs 1GbE RJ45 do zarządzania i monitoringu 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posiadająca co najmniej 3 porty USB 3.0, w tym co najmniej 1 wewnątrz obudowy, nie jest dopuszczalne uzyskanie wymaganej ilości portów poprzez zastosowanie przejściówek lub adapterów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 posiadająca co najmniej jeden port SATA 3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posiadająca co najmniej 24 gniazda DIMM, pozwalające na zainstalowanie co najmniej 3TB pamięci RAM 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 pozwalająca na zainstalowanie co najmniej 2 fizycznych procesorów</w:t>
            </w:r>
          </w:p>
          <w:p w:rsidR="003F1638" w:rsidRDefault="003F16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Procesor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Zainstalowane minimum dwa procesory minimum dwunastordzeniowe z rodziny x86 - 64 bity, o znamionowej częstotliwości nie mniejszej niż 2,3GHz, osiągające w testach SPECint_rate_base2006  wynik nie gorszy niż 1210 punktów. W przypadku zaoferowania procesora równoważnego, wynik testu musi być publikowany na stronie </w:t>
            </w:r>
            <w:hyperlink r:id="rId8">
              <w:r>
                <w:rPr>
                  <w:rStyle w:val="ListLabel10"/>
                  <w:rFonts w:ascii="Times New Roman" w:eastAsiaTheme="minorHAnsi" w:hAnsi="Times New Roman"/>
                </w:rPr>
                <w:t>www.spec.org</w:t>
              </w:r>
            </w:hyperlink>
          </w:p>
          <w:p w:rsidR="003F1638" w:rsidRDefault="00CD11C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Zamawiający wymaga złożenia wraz z ofertą wyników w/w testów.</w:t>
            </w:r>
          </w:p>
          <w:p w:rsidR="003F1638" w:rsidRDefault="00CD11CB">
            <w:pPr>
              <w:pStyle w:val="Defaul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Wszystkie gniazda procesorów muszą być obsadzone dla oferowanej platformy serwerowej.</w:t>
            </w:r>
          </w:p>
          <w:p w:rsidR="003F1638" w:rsidRDefault="00CD11CB">
            <w:pPr>
              <w:pStyle w:val="Defaul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Oferowany serwer musi posiadać obsługę pamięci typu NVDIMM</w:t>
            </w:r>
          </w:p>
          <w:p w:rsidR="003F1638" w:rsidRDefault="003F163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Pamięć RAM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zainstalowane co najmniej 256 GB w pełni buforowanej pamięci DDR4 ECC w modułach co najmniej po 32 GB, o częstotliwości pracy 2666MT/s</w:t>
            </w:r>
          </w:p>
          <w:p w:rsidR="003F1638" w:rsidRDefault="00CD11CB">
            <w:pPr>
              <w:spacing w:after="0" w:line="240" w:lineRule="auto"/>
              <w:rPr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ożliwe zabezpieczenia pamięci: ECC, On-line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Spare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Memory Mirror lub równoważne </w:t>
            </w:r>
          </w:p>
          <w:p w:rsidR="003F1638" w:rsidRDefault="003F16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-BoldMT"/>
                <w:bCs/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Złącza PCI-E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co najmniej 2 złącza PCI-E 3.0 x8 (szybkość slotu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width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 pełnej wysokości i pełnej długości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co najmniej 3 złącza PCI-E 3.0 x16 (szybkość slotu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width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pełnej wysokości i pełnej długości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- minimum 3 złącza PCI-E muszą pozostać wolne przy wymaganej konfiguracji serwera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musi istnieć możliwość przyszłej rozbudowy o co najmniej jedno złącze PCI-E 3.0 x16 (szybkość slotu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width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 pełnej wysokości i pełnej długości, bez konieczności wymiany zainstalowanych elementów serwera</w:t>
            </w:r>
          </w:p>
          <w:p w:rsidR="003F1638" w:rsidRDefault="003F16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-BoldMT"/>
                <w:bCs/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Kontroler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dysków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co najmniej 1 szt.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instalowany w dedykowanym złączu lub zintegrowany 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obsługujący co najmniej 24 dysków SAS/SATA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o przepustowości 12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obsługujący RAID 0, 1, 5, 10, 50, 6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z co najmniej 2 GB pamięci cache do odczytu i zapisu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 podtrzymanie bateryjne/kondensatorowe dla pamięci cache kontrolera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 możliwość dokupienia licencji na szyfrowanie dysków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 możliwość rozbudowy cache kontrolera do minimum 4GB przez wymianę kontrolera lub zmianę pamięci kontrolera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Dodatkowe kontrolery sieciowe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Możliwość rozbudowy o dodatkowe interfejsy sieciowe typu: 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2x 10Gb SFP+, 2x 10Gb Base-T, 4x 10Gb Base-T, 4x 1Gb Base-T,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dedykowanymi modułami bez zajmowania slotów PCI-E lub w postaci kart PCI-E pod warunkiem nieumniejszenia wymaganej ilości slotów PCI-E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-BoldMT"/>
                <w:bCs/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Karta/akcelerator GPU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Zaawansowany akcelerator graficzny posiadający minimum 32 GB pamięci ze wsparciem mechanizmu ECC. Wyposażony w co najmniej 5120 rdzenie CUDA i zużywający maksymalnie 250W energii.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Wymagana jest możliwość rozbudowy oferowanej konfiguracji serwera do minimum 2 kart/akceleratorów spełniających powyżej opisane parametry.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Dyski twarde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1. zainstalowane co najmniej 8 dysków SAS 2,5", hot-plug, o prędkości obrotowej co najmniej 10 000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</w:rPr>
              <w:t>rpm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 i pojemności co najmniej 2,4TB każdy</w:t>
            </w:r>
          </w:p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</w:t>
            </w:r>
            <w:r>
              <w:rPr>
                <w:rFonts w:ascii="Times New Roman" w:hAnsi="Times New Roman" w:cs="TimesNewRomanPSMT"/>
                <w:sz w:val="20"/>
                <w:szCs w:val="20"/>
              </w:rPr>
              <w:t>zainstalowane co najmniej 3 dyski 2,5” SATA SSD, hot-plug, o pojemności co najmniej 480GB każdy, DWPD min. 3.0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-BoldMT"/>
                <w:bCs/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Zdalny interfejs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zarządzający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Niezależna od system operacyjnego, zintegrowana z płytą główną serwera lub jako dodatkowa karta w slocie PCI Express, jednak nie może ona powodować zmniejszenia minimalnej liczby gniazd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</w:rPr>
              <w:t>PCIe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 w serwerze, posiadająca minimalną funkcjonalność: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lastRenderedPageBreak/>
              <w:t xml:space="preserve">monitorowanie podzespołów serwera: temperatura, zasilacze, wentylatory, procesory, pamięć RAM, kontrolery macierzowe i dyski(fizyczne i logiczne), karty sieciowe 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 xml:space="preserve">wparcie dla agentów zarządzających oraz możliwość pracy w trybie 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bezagentowym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 xml:space="preserve"> – bez agentów zarządzania instalowanych w systemie operacyjnym z generowaniem alertów SNMP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 xml:space="preserve">dostęp do karty zarządzającej poprzez dedykowany port RJ45 z tyłu serwera lub przez współdzielony port zintegrowanej karty sieciowej serwera  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 xml:space="preserve">dostęp do karty możliwy z poziomu przeglądarki webowej (GUI); z poziomu linii komend; 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porzez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 xml:space="preserve"> interfejs IPMI 2.0 (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Intelligent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 xml:space="preserve"> Platform Management Interface)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 xml:space="preserve">wirtualna 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zadalna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 xml:space="preserve"> konsola, tekstowa i graficzna, z dostępem do myszy i klawiatury i możliwością podłączenia wirtualnych napędów FDD, CD/DVD, USB i  wirtualnych folderów 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>monitorowanie zasilania oraz zużycia energii przez serwer w czasie rzeczywistym z możliwością graficznej prezentacji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>konfiguracja maksymalnego poziomu pobieranej mocy przez serwer (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capping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 xml:space="preserve">) 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>zdalna aktualizacja oprogramowania (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firmware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>)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>wsparcie dla Microsoft Active Directory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 xml:space="preserve">wsparcie dla IPv4 oraz iPv6, obsługa SNMP v3 oraz 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RESTful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 xml:space="preserve"> API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 xml:space="preserve">możliwość 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autokonfiguracji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 xml:space="preserve"> sieci karty zarządzającej (DNS/DHCP)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Inne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Dodatkowo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sprzęt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: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1.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musi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być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wspierany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przez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systemy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:  Windows Server 2019, Windows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Serwer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2016, VMware vSphere 6.5 &amp; 6.7, Red Hat Enterprise Linux (RHEL) 6.9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7.3, SUSE Linux Enterprise Server (SLES) 11 SP4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12 SP2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2. oferowany model serwera musi posiadać certyfikację dla systemów Windows Serwer 2019 i 2016 :</w:t>
            </w:r>
          </w:p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- wymagane dołączenie wydruku ze strony </w:t>
            </w:r>
            <w:hyperlink r:id="rId9">
              <w:r>
                <w:rPr>
                  <w:rStyle w:val="InternetLink"/>
                  <w:rFonts w:ascii="Times New Roman" w:hAnsi="Times New Roman" w:cs="TimesNewRomanPSMT"/>
                  <w:sz w:val="20"/>
                  <w:szCs w:val="20"/>
                </w:rPr>
                <w:t>https://www.windowsservercatalog.com</w:t>
              </w:r>
            </w:hyperlink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 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vanish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3.  oferowany model serwera musi posiadać certyfikację dla systemów Red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</w:rPr>
              <w:t>Hat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 Enterprise Linux (RHEL) 6.9 i 7.3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 </w:t>
            </w:r>
          </w:p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- wymagane dołączenie wydruku ze strony </w:t>
            </w:r>
            <w:hyperlink r:id="rId10">
              <w:r>
                <w:rPr>
                  <w:rStyle w:val="InternetLink"/>
                  <w:rFonts w:ascii="Times New Roman" w:hAnsi="Times New Roman" w:cs="TimesNewRomanPSMT"/>
                  <w:sz w:val="20"/>
                  <w:szCs w:val="20"/>
                </w:rPr>
                <w:t>https://access.redhat.com/ecosystem/hardware</w:t>
              </w:r>
            </w:hyperlink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 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2. musi zawierać wszystkie licencje i akcesoria niezbędne do uruchomienia serwera,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-BoldMT"/>
                <w:bCs/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System operacyjny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 xml:space="preserve">Red </w:t>
            </w:r>
            <w:proofErr w:type="spellStart"/>
            <w:r>
              <w:rPr>
                <w:rFonts w:ascii="Times New Roman" w:hAnsi="Times New Roman" w:cs="Arial"/>
                <w:sz w:val="20"/>
                <w:szCs w:val="20"/>
              </w:rPr>
              <w:t>Hat</w:t>
            </w:r>
            <w:proofErr w:type="spellEnd"/>
            <w:r>
              <w:rPr>
                <w:rFonts w:ascii="Times New Roman" w:hAnsi="Times New Roman" w:cs="Arial"/>
                <w:sz w:val="20"/>
                <w:szCs w:val="20"/>
              </w:rPr>
              <w:t xml:space="preserve"> Enterprise Linux 7.4 Standard (2 Sockets </w:t>
            </w:r>
            <w:proofErr w:type="spellStart"/>
            <w:r>
              <w:rPr>
                <w:rFonts w:ascii="Times New Roman" w:hAnsi="Times New Roman" w:cs="Arial"/>
                <w:sz w:val="20"/>
                <w:szCs w:val="20"/>
              </w:rPr>
              <w:t>or</w:t>
            </w:r>
            <w:proofErr w:type="spellEnd"/>
            <w:r>
              <w:rPr>
                <w:rFonts w:ascii="Times New Roman" w:hAnsi="Times New Roman" w:cs="Arial"/>
                <w:sz w:val="20"/>
                <w:szCs w:val="20"/>
              </w:rPr>
              <w:t xml:space="preserve"> 2 </w:t>
            </w:r>
            <w:proofErr w:type="spellStart"/>
            <w:r>
              <w:rPr>
                <w:rFonts w:ascii="Times New Roman" w:hAnsi="Times New Roman" w:cs="Arial"/>
                <w:sz w:val="20"/>
                <w:szCs w:val="20"/>
              </w:rPr>
              <w:t>Guests</w:t>
            </w:r>
            <w:proofErr w:type="spellEnd"/>
            <w:r>
              <w:rPr>
                <w:rFonts w:ascii="Times New Roman" w:hAnsi="Times New Roman" w:cs="Arial"/>
                <w:sz w:val="20"/>
                <w:szCs w:val="20"/>
              </w:rPr>
              <w:t xml:space="preserve">) z 3-letnią subskrypcją i </w:t>
            </w:r>
            <w:proofErr w:type="spellStart"/>
            <w:r>
              <w:rPr>
                <w:rFonts w:ascii="Times New Roman" w:hAnsi="Times New Roman" w:cs="Arial"/>
                <w:sz w:val="20"/>
                <w:szCs w:val="20"/>
              </w:rPr>
              <w:t>supportem</w:t>
            </w:r>
            <w:proofErr w:type="spellEnd"/>
            <w:r>
              <w:rPr>
                <w:rFonts w:ascii="Times New Roman" w:hAnsi="Times New Roman" w:cs="Arial"/>
                <w:sz w:val="20"/>
                <w:szCs w:val="20"/>
              </w:rPr>
              <w:t xml:space="preserve"> realizowanym w trybie 9x5</w:t>
            </w:r>
          </w:p>
          <w:p w:rsidR="003F1638" w:rsidRDefault="003F1638">
            <w:pPr>
              <w:spacing w:after="0" w:line="240" w:lineRule="auto"/>
              <w:rPr>
                <w:rFonts w:ascii="Times New Roman" w:hAnsi="Times New Roman" w:cs="Arial"/>
                <w:sz w:val="20"/>
                <w:szCs w:val="20"/>
              </w:rPr>
            </w:pP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Gwarancja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3-letnia gwarancja producenta w miejscu instalacji z czasem reakcji w następnym dniu roboczym.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W okresie gwarancji Zamawiający ma prawo do otrzymywania poprawek oraz aktualizacji oprogramowania dostarczonego wraz z serwerem</w:t>
            </w:r>
            <w:r>
              <w:rPr>
                <w:rFonts w:ascii="Times New Roman" w:hAnsi="Times New Roman" w:cs="TimesNewRomanPSMT"/>
                <w:sz w:val="20"/>
                <w:szCs w:val="20"/>
              </w:rPr>
              <w:t>.</w:t>
            </w:r>
          </w:p>
          <w:p w:rsidR="003F1638" w:rsidRDefault="003F1638">
            <w:pPr>
              <w:spacing w:after="0" w:line="240" w:lineRule="auto"/>
              <w:rPr>
                <w:rFonts w:ascii="Times New Roman" w:hAnsi="Times New Roman" w:cs="TimesNewRomanPSMT"/>
                <w:sz w:val="20"/>
                <w:szCs w:val="20"/>
              </w:rPr>
            </w:pPr>
          </w:p>
          <w:p w:rsidR="003F1638" w:rsidRDefault="00CD11CB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Podzespoły, z których zbudowany jest serwer muszą być produktami producenta tego serwera lub być przez niego certyfikowane oraz muszą być objęte gwarancją producenta, o wymaganym w specyfikacji poziomie SLA (wymagane oświadczenie producenta serwera potwierdzające spełnienie wymagań dołączone do oferty).</w:t>
            </w:r>
          </w:p>
          <w:p w:rsidR="003F1638" w:rsidRDefault="00CD11CB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lastRenderedPageBreak/>
              <w:t>Serwer musi być fabrycznie nowy i pochodzić z oficjalnego kanału dystrybucyjnego w Polsce – na wniosek Zamawiającego Dostawca przedstawi oświadczenie producenta serwera, że oferowany do przetargu serwer spełnia ten wymóg.</w:t>
            </w:r>
          </w:p>
          <w:p w:rsidR="003F1638" w:rsidRDefault="00CD11CB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Wymagane są dokumenty poświadczające, że sprzęt jest produkowany zgodnie z normami ISO 9001 oraz ISO 14001.</w:t>
            </w:r>
          </w:p>
          <w:p w:rsidR="003F1638" w:rsidRDefault="00CD11CB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Deklaracja zgodności CE.</w:t>
            </w:r>
          </w:p>
          <w:p w:rsidR="003F1638" w:rsidRDefault="003F16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F1638" w:rsidRDefault="003F1638">
      <w:pPr>
        <w:rPr>
          <w:rFonts w:ascii="Times New Roman" w:hAnsi="Times New Roman"/>
        </w:rPr>
      </w:pPr>
    </w:p>
    <w:p w:rsidR="003F1638" w:rsidRDefault="003F1638">
      <w:pPr>
        <w:rPr>
          <w:lang w:val="en-US"/>
        </w:rPr>
      </w:pPr>
    </w:p>
    <w:p w:rsidR="003F1638" w:rsidRDefault="00CD11CB">
      <w:pPr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  <w:lang w:val="en-US"/>
        </w:rPr>
        <w:t>Zasilacz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awaryjny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– 1 </w:t>
      </w:r>
      <w:proofErr w:type="spellStart"/>
      <w:r>
        <w:rPr>
          <w:rFonts w:ascii="Times New Roman" w:hAnsi="Times New Roman"/>
          <w:b/>
          <w:bCs/>
          <w:lang w:val="en-US"/>
        </w:rPr>
        <w:t>szt</w:t>
      </w:r>
      <w:proofErr w:type="spellEnd"/>
      <w:r>
        <w:rPr>
          <w:rFonts w:ascii="Times New Roman" w:hAnsi="Times New Roman"/>
          <w:b/>
          <w:bCs/>
          <w:lang w:val="en-US"/>
        </w:rPr>
        <w:t>.</w:t>
      </w:r>
    </w:p>
    <w:tbl>
      <w:tblPr>
        <w:tblStyle w:val="Tabela-Siatka"/>
        <w:tblW w:w="9062" w:type="dxa"/>
        <w:tblInd w:w="-5" w:type="dxa"/>
        <w:tblLook w:val="04A0" w:firstRow="1" w:lastRow="0" w:firstColumn="1" w:lastColumn="0" w:noHBand="0" w:noVBand="1"/>
      </w:tblPr>
      <w:tblGrid>
        <w:gridCol w:w="839"/>
        <w:gridCol w:w="11"/>
        <w:gridCol w:w="2548"/>
        <w:gridCol w:w="5664"/>
      </w:tblGrid>
      <w:tr w:rsidR="003F1638">
        <w:trPr>
          <w:trHeight w:val="528"/>
        </w:trPr>
        <w:tc>
          <w:tcPr>
            <w:tcW w:w="85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L.p.</w:t>
            </w:r>
          </w:p>
        </w:tc>
        <w:tc>
          <w:tcPr>
            <w:tcW w:w="254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Cecha</w:t>
            </w:r>
          </w:p>
        </w:tc>
        <w:tc>
          <w:tcPr>
            <w:tcW w:w="5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Wymagania minimalne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Moc znamionowa (VA)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minimum 3000 VA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3F16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Moc czynna (W)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minimum 2700 W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Wejściowy współczynnik mocy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&gt; 0,99 przy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THDi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&lt;3%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Konstrukcja obudowy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obudowa typu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tower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rack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2U, konfiguracje wolnostojące i w szafie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Rack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19” z obracalnym wyświetlaczem, na wyposażeniu szyny umożliwiające montaż UPS-a w szafie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rack</w:t>
            </w:r>
            <w:proofErr w:type="spellEnd"/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Częstotliwość wejściowa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50-60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Hz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± 5% (autodetekcja)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Baterie wbudowane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typu Hot-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swap</w:t>
            </w:r>
            <w:proofErr w:type="spellEnd"/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Czas podtrzymania przy obciążeniu 100%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minimum 4 minuty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Czas podtrzymania przy obciążeniu 50%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minimum 12 minut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Czas podtrzymania przy obciążeniu 30%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minimum 22 minuty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Przeciążalność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125% przez 2 minuty, 150% przez 30 sekund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Stopień ochrony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IP21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Technologia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typ konwencjonalny, jednofazowy o podwójnej konwersji on-line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Bypass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wyposażony w automatyczny bypass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Interfejsy komunikacyjne 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USB, wymagana karta SNMP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Gniazda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6x IEC 10A + 1x IEC 16A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Poziom hałasu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poziom hałasu zmierzony w odległości 1 metra  &lt;50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dBA</w:t>
            </w:r>
            <w:proofErr w:type="spellEnd"/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Normy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spełnia normy: EN 62040-1, 62040-2, 62040-3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Inne wymagania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automatyczna korekta współczynnika mocy obciążenia do wartości  0,99 z podłączonym już na wyjściu obciążeniem równym 20% obciążenia znamionowego;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zasilanie inwertera bez pobierania energii z baterii także w przypadku bardzo niskiego napięcia w sieci (praca z zasilaniem sieciowym dla wartości VIN   100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Vac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przy 50% obciążenia znamionowego),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łącznie odkształcenie harmoniczne napięcia wyjściowego przy obciążeniu znamionowym nie liniowym - dla współczynnika mocy 0,8 oraz THD &lt; 3 %,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dopuszczalny współczynnik szczytowy dla prądu wyjściowego nie mniejszy niż 3:1,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możliwość wydłużenia czasu podtrzymania poprzez zastosowanie zewnętrznych modułów bateryjnych podłączanych na gorąco (hot-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swap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oprogramowanie do współpracy zasilacza UPS z systemami Windows oraz Linux/Unix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Gwarancja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36 miesięcy na elektronikę, 24 miesiące na baterie</w:t>
            </w:r>
          </w:p>
        </w:tc>
      </w:tr>
    </w:tbl>
    <w:p w:rsidR="003F1638" w:rsidRDefault="003F1638">
      <w:pPr>
        <w:rPr>
          <w:rFonts w:ascii="Times New Roman" w:hAnsi="Times New Roman"/>
        </w:rPr>
      </w:pPr>
    </w:p>
    <w:p w:rsidR="003F1638" w:rsidRDefault="00CD11CB">
      <w:r>
        <w:rPr>
          <w:rFonts w:ascii="Times New Roman" w:hAnsi="Times New Roman"/>
          <w:b/>
          <w:bCs/>
        </w:rPr>
        <w:lastRenderedPageBreak/>
        <w:t>Zewnętrzny moduł bateryjny do zasilacza awaryjnego – 1 szt.</w:t>
      </w:r>
    </w:p>
    <w:tbl>
      <w:tblPr>
        <w:tblStyle w:val="Tabela-Siatka"/>
        <w:tblW w:w="9062" w:type="dxa"/>
        <w:tblInd w:w="-5" w:type="dxa"/>
        <w:tblLook w:val="04A0" w:firstRow="1" w:lastRow="0" w:firstColumn="1" w:lastColumn="0" w:noHBand="0" w:noVBand="1"/>
      </w:tblPr>
      <w:tblGrid>
        <w:gridCol w:w="839"/>
        <w:gridCol w:w="11"/>
        <w:gridCol w:w="2548"/>
        <w:gridCol w:w="5664"/>
      </w:tblGrid>
      <w:tr w:rsidR="003F1638">
        <w:trPr>
          <w:trHeight w:val="528"/>
        </w:trPr>
        <w:tc>
          <w:tcPr>
            <w:tcW w:w="85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L.p.</w:t>
            </w:r>
          </w:p>
        </w:tc>
        <w:tc>
          <w:tcPr>
            <w:tcW w:w="254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Cecha</w:t>
            </w:r>
          </w:p>
        </w:tc>
        <w:tc>
          <w:tcPr>
            <w:tcW w:w="5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Wymagania minimalne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kompatybilność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- wyprodukowany przez producenta zamawianego zasilacza awaryjnego</w:t>
            </w:r>
          </w:p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- podłączany na gorąco (hot-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swap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Czas podtrzymania zasilacza wraz z zewnętrznym modułem bateryjnym przy obciążeniu 100%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minimum 19 minut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Czas podtrzymania zasilacza wraz z zewnętrznym modułem bateryjnym przy obciążeniu 50%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minimum 47 minut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Czas podtrzymania zasilacza wraz z zewnętrznym modułem bateryjnym przy obciążeniu 30%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minimum 86 minut</w:t>
            </w:r>
          </w:p>
        </w:tc>
      </w:tr>
    </w:tbl>
    <w:p w:rsidR="003F1638" w:rsidRDefault="003F1638">
      <w:pPr>
        <w:rPr>
          <w:rFonts w:ascii="Times New Roman" w:hAnsi="Times New Roman"/>
          <w:b/>
          <w:bCs/>
        </w:rPr>
      </w:pPr>
    </w:p>
    <w:p w:rsidR="003F1638" w:rsidRDefault="003F1638">
      <w:pPr>
        <w:rPr>
          <w:rFonts w:ascii="Times New Roman" w:hAnsi="Times New Roman"/>
          <w:b/>
          <w:bCs/>
        </w:rPr>
      </w:pPr>
    </w:p>
    <w:p w:rsidR="003F1638" w:rsidRDefault="00CD11CB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Akcesoria dodatkowe: </w:t>
      </w:r>
    </w:p>
    <w:tbl>
      <w:tblPr>
        <w:tblStyle w:val="Tabela-Siatka"/>
        <w:tblW w:w="9062" w:type="dxa"/>
        <w:tblInd w:w="-5" w:type="dxa"/>
        <w:tblLook w:val="04A0" w:firstRow="1" w:lastRow="0" w:firstColumn="1" w:lastColumn="0" w:noHBand="0" w:noVBand="1"/>
      </w:tblPr>
      <w:tblGrid>
        <w:gridCol w:w="839"/>
        <w:gridCol w:w="11"/>
        <w:gridCol w:w="2548"/>
        <w:gridCol w:w="5664"/>
      </w:tblGrid>
      <w:tr w:rsidR="003F1638">
        <w:trPr>
          <w:trHeight w:val="528"/>
        </w:trPr>
        <w:tc>
          <w:tcPr>
            <w:tcW w:w="85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L.p.</w:t>
            </w:r>
          </w:p>
        </w:tc>
        <w:tc>
          <w:tcPr>
            <w:tcW w:w="254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Nazwa</w:t>
            </w:r>
          </w:p>
        </w:tc>
        <w:tc>
          <w:tcPr>
            <w:tcW w:w="5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Wymagania minimalne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Monitor 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przekątna ekranu minimum 23,8 cala,</w:t>
            </w:r>
          </w:p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posiada port VGA.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Kabel VGA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musi łączyć monitor z zamawianą jednostką obliczeniową (typ kabla: VGA M – VGA M)</w:t>
            </w:r>
          </w:p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długość minimum 5 m</w:t>
            </w:r>
          </w:p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- 2 ferryty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Klawiatura</w:t>
            </w:r>
          </w:p>
        </w:tc>
        <w:tc>
          <w:tcPr>
            <w:tcW w:w="5665" w:type="dxa"/>
            <w:shd w:val="clear" w:color="auto" w:fill="auto"/>
          </w:tcPr>
          <w:p w:rsidR="003F1638" w:rsidRDefault="003F163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F1638">
        <w:tc>
          <w:tcPr>
            <w:tcW w:w="839" w:type="dxa"/>
            <w:tcBorders>
              <w:top w:val="nil"/>
            </w:tcBorders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558" w:type="dxa"/>
            <w:gridSpan w:val="2"/>
            <w:tcBorders>
              <w:top w:val="nil"/>
            </w:tcBorders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Mysz</w:t>
            </w:r>
          </w:p>
        </w:tc>
        <w:tc>
          <w:tcPr>
            <w:tcW w:w="5665" w:type="dxa"/>
            <w:tcBorders>
              <w:top w:val="nil"/>
            </w:tcBorders>
            <w:shd w:val="clear" w:color="auto" w:fill="auto"/>
          </w:tcPr>
          <w:p w:rsidR="003F1638" w:rsidRDefault="003F16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F1638" w:rsidRDefault="003F1638"/>
    <w:sectPr w:rsidR="003F163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1CB" w:rsidRDefault="00CD11CB" w:rsidP="00CD11CB">
      <w:pPr>
        <w:spacing w:after="0" w:line="240" w:lineRule="auto"/>
      </w:pPr>
      <w:r>
        <w:separator/>
      </w:r>
    </w:p>
  </w:endnote>
  <w:endnote w:type="continuationSeparator" w:id="0">
    <w:p w:rsidR="00CD11CB" w:rsidRDefault="00CD11CB" w:rsidP="00CD1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-BoldMT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2DF" w:rsidRDefault="00A532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2DF" w:rsidRDefault="00A532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2DF" w:rsidRDefault="00A532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1CB" w:rsidRDefault="00CD11CB" w:rsidP="00CD11CB">
      <w:pPr>
        <w:spacing w:after="0" w:line="240" w:lineRule="auto"/>
      </w:pPr>
      <w:r>
        <w:separator/>
      </w:r>
    </w:p>
  </w:footnote>
  <w:footnote w:type="continuationSeparator" w:id="0">
    <w:p w:rsidR="00CD11CB" w:rsidRDefault="00CD11CB" w:rsidP="00CD1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2DF" w:rsidRDefault="00A532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1CB" w:rsidRPr="00CD11CB" w:rsidRDefault="00CD11CB">
    <w:pPr>
      <w:pStyle w:val="Nagwek"/>
      <w:rPr>
        <w:rFonts w:ascii="Times New Roman" w:hAnsi="Times New Roman" w:cs="Times New Roman"/>
      </w:rPr>
    </w:pPr>
  </w:p>
  <w:p w:rsidR="00CD11CB" w:rsidRPr="00CD11CB" w:rsidRDefault="00CD11CB">
    <w:pPr>
      <w:pStyle w:val="Nagwek"/>
      <w:rPr>
        <w:rFonts w:ascii="Times New Roman" w:hAnsi="Times New Roman" w:cs="Times New Roman"/>
      </w:rPr>
    </w:pPr>
    <w:r w:rsidRPr="00CD11CB">
      <w:rPr>
        <w:rFonts w:ascii="Times New Roman" w:hAnsi="Times New Roman" w:cs="Times New Roman"/>
      </w:rPr>
      <w:t xml:space="preserve">Oznaczenie sprawy: </w:t>
    </w:r>
    <w:r w:rsidRPr="00CD11CB">
      <w:rPr>
        <w:rFonts w:ascii="Times New Roman" w:hAnsi="Times New Roman" w:cs="Times New Roman"/>
      </w:rPr>
      <w:t>ZP/5672/D/19</w:t>
    </w:r>
    <w:r w:rsidR="00A532DF">
      <w:rPr>
        <w:rFonts w:ascii="Times New Roman" w:hAnsi="Times New Roman" w:cs="Times New Roman"/>
      </w:rPr>
      <w:t>/I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2DF" w:rsidRDefault="00A532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E5610"/>
    <w:multiLevelType w:val="multilevel"/>
    <w:tmpl w:val="B2D06122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72DF143B"/>
    <w:multiLevelType w:val="multilevel"/>
    <w:tmpl w:val="BC301A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638"/>
    <w:rsid w:val="003F1638"/>
    <w:rsid w:val="00403B33"/>
    <w:rsid w:val="00A532DF"/>
    <w:rsid w:val="00CD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paragraph" w:styleId="Nagwek1">
    <w:name w:val="heading 1"/>
    <w:basedOn w:val="Heading"/>
    <w:next w:val="Tekstpodstawowy"/>
    <w:qFormat/>
    <w:pPr>
      <w:numPr>
        <w:numId w:val="1"/>
      </w:num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50FD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50FD3"/>
    <w:rPr>
      <w:rFonts w:ascii="Calibri" w:eastAsia="Times New Roman" w:hAnsi="Calibri" w:cs="Times New Roman"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50FD3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A0D91"/>
  </w:style>
  <w:style w:type="character" w:customStyle="1" w:styleId="StopkaZnak">
    <w:name w:val="Stopka Znak"/>
    <w:basedOn w:val="Domylnaczcionkaakapitu"/>
    <w:link w:val="Stopka"/>
    <w:uiPriority w:val="99"/>
    <w:qFormat/>
    <w:rsid w:val="008A0D91"/>
  </w:style>
  <w:style w:type="character" w:customStyle="1" w:styleId="InternetLink">
    <w:name w:val="Internet Link"/>
    <w:basedOn w:val="Domylnaczcionkaakapitu"/>
    <w:uiPriority w:val="99"/>
    <w:unhideWhenUsed/>
    <w:rsid w:val="005677BF"/>
    <w:rPr>
      <w:color w:val="0000FF" w:themeColor="hyperlink"/>
      <w:u w:val="singl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14740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ListLabel1">
    <w:name w:val="ListLabel 1"/>
    <w:qFormat/>
    <w:rPr>
      <w:rFonts w:eastAsia="Calibri" w:cs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Calibri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eastAsia="Times New Roman" w:cs="Times New Roman"/>
      <w:color w:val="0000FF"/>
      <w:sz w:val="20"/>
      <w:szCs w:val="20"/>
      <w:u w:val="single"/>
      <w:lang w:eastAsia="pl-PL"/>
    </w:rPr>
  </w:style>
  <w:style w:type="character" w:customStyle="1" w:styleId="ListLabel11">
    <w:name w:val="ListLabel 11"/>
    <w:qFormat/>
    <w:rPr>
      <w:rFonts w:cs="TimesNewRomanPSMT"/>
      <w:sz w:val="20"/>
      <w:szCs w:val="20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ascii="Times New Roman" w:eastAsia="Times New Roman" w:hAnsi="Times New Roman" w:cs="Times New Roman"/>
      <w:color w:val="0000FF"/>
      <w:sz w:val="20"/>
      <w:szCs w:val="20"/>
      <w:u w:val="single"/>
      <w:lang w:eastAsia="pl-PL"/>
    </w:rPr>
  </w:style>
  <w:style w:type="character" w:customStyle="1" w:styleId="ListLabel22">
    <w:name w:val="ListLabel 22"/>
    <w:qFormat/>
    <w:rPr>
      <w:rFonts w:ascii="Times New Roman" w:hAnsi="Times New Roman" w:cs="TimesNewRomanPSMT"/>
      <w:sz w:val="20"/>
      <w:szCs w:val="20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50FD3"/>
    <w:pPr>
      <w:ind w:left="720"/>
      <w:contextualSpacing/>
    </w:pPr>
    <w:rPr>
      <w:rFonts w:ascii="Calibri" w:eastAsia="Times New Roman" w:hAnsi="Calibri" w:cs="Times New Roman"/>
      <w:sz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50FD3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50FD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A0D91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8A0D9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38172B"/>
    <w:rPr>
      <w:rFonts w:ascii="Calibri" w:eastAsia="Calibri" w:hAnsi="Calibri" w:cs="Calibri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914740"/>
    <w:rPr>
      <w:rFonts w:asciiTheme="minorHAnsi" w:eastAsiaTheme="minorHAnsi" w:hAnsiTheme="minorHAnsi" w:cstheme="minorBidi"/>
      <w:b/>
      <w:bCs/>
    </w:rPr>
  </w:style>
  <w:style w:type="paragraph" w:customStyle="1" w:styleId="TableContents">
    <w:name w:val="Table Contents"/>
    <w:basedOn w:val="Normalny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A50F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paragraph" w:styleId="Nagwek1">
    <w:name w:val="heading 1"/>
    <w:basedOn w:val="Heading"/>
    <w:next w:val="Tekstpodstawowy"/>
    <w:qFormat/>
    <w:pPr>
      <w:numPr>
        <w:numId w:val="1"/>
      </w:num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50FD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50FD3"/>
    <w:rPr>
      <w:rFonts w:ascii="Calibri" w:eastAsia="Times New Roman" w:hAnsi="Calibri" w:cs="Times New Roman"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50FD3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A0D91"/>
  </w:style>
  <w:style w:type="character" w:customStyle="1" w:styleId="StopkaZnak">
    <w:name w:val="Stopka Znak"/>
    <w:basedOn w:val="Domylnaczcionkaakapitu"/>
    <w:link w:val="Stopka"/>
    <w:uiPriority w:val="99"/>
    <w:qFormat/>
    <w:rsid w:val="008A0D91"/>
  </w:style>
  <w:style w:type="character" w:customStyle="1" w:styleId="InternetLink">
    <w:name w:val="Internet Link"/>
    <w:basedOn w:val="Domylnaczcionkaakapitu"/>
    <w:uiPriority w:val="99"/>
    <w:unhideWhenUsed/>
    <w:rsid w:val="005677BF"/>
    <w:rPr>
      <w:color w:val="0000FF" w:themeColor="hyperlink"/>
      <w:u w:val="singl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14740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ListLabel1">
    <w:name w:val="ListLabel 1"/>
    <w:qFormat/>
    <w:rPr>
      <w:rFonts w:eastAsia="Calibri" w:cs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Calibri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eastAsia="Times New Roman" w:cs="Times New Roman"/>
      <w:color w:val="0000FF"/>
      <w:sz w:val="20"/>
      <w:szCs w:val="20"/>
      <w:u w:val="single"/>
      <w:lang w:eastAsia="pl-PL"/>
    </w:rPr>
  </w:style>
  <w:style w:type="character" w:customStyle="1" w:styleId="ListLabel11">
    <w:name w:val="ListLabel 11"/>
    <w:qFormat/>
    <w:rPr>
      <w:rFonts w:cs="TimesNewRomanPSMT"/>
      <w:sz w:val="20"/>
      <w:szCs w:val="20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ascii="Times New Roman" w:eastAsia="Times New Roman" w:hAnsi="Times New Roman" w:cs="Times New Roman"/>
      <w:color w:val="0000FF"/>
      <w:sz w:val="20"/>
      <w:szCs w:val="20"/>
      <w:u w:val="single"/>
      <w:lang w:eastAsia="pl-PL"/>
    </w:rPr>
  </w:style>
  <w:style w:type="character" w:customStyle="1" w:styleId="ListLabel22">
    <w:name w:val="ListLabel 22"/>
    <w:qFormat/>
    <w:rPr>
      <w:rFonts w:ascii="Times New Roman" w:hAnsi="Times New Roman" w:cs="TimesNewRomanPSMT"/>
      <w:sz w:val="20"/>
      <w:szCs w:val="20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50FD3"/>
    <w:pPr>
      <w:ind w:left="720"/>
      <w:contextualSpacing/>
    </w:pPr>
    <w:rPr>
      <w:rFonts w:ascii="Calibri" w:eastAsia="Times New Roman" w:hAnsi="Calibri" w:cs="Times New Roman"/>
      <w:sz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50FD3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50FD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A0D91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8A0D9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38172B"/>
    <w:rPr>
      <w:rFonts w:ascii="Calibri" w:eastAsia="Calibri" w:hAnsi="Calibri" w:cs="Calibri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914740"/>
    <w:rPr>
      <w:rFonts w:asciiTheme="minorHAnsi" w:eastAsiaTheme="minorHAnsi" w:hAnsiTheme="minorHAnsi" w:cstheme="minorBidi"/>
      <w:b/>
      <w:bCs/>
    </w:rPr>
  </w:style>
  <w:style w:type="paragraph" w:customStyle="1" w:styleId="TableContents">
    <w:name w:val="Table Contents"/>
    <w:basedOn w:val="Normalny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A50F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c.org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access.redhat.com/ecosystem/hardwar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windowsservercatalog.com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1583</Words>
  <Characters>9503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Aleksandra Korcz</cp:lastModifiedBy>
  <cp:revision>19</cp:revision>
  <cp:lastPrinted>2019-11-08T08:48:00Z</cp:lastPrinted>
  <dcterms:created xsi:type="dcterms:W3CDTF">2019-09-06T10:29:00Z</dcterms:created>
  <dcterms:modified xsi:type="dcterms:W3CDTF">2020-01-20T10:44:00Z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