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6EFF7" w14:textId="06A33B54" w:rsidR="00BF4A42" w:rsidRDefault="00506F09">
      <w:pPr>
        <w:pStyle w:val="Tekstpodstawowy"/>
        <w:spacing w:line="276" w:lineRule="auto"/>
        <w:contextualSpacing/>
        <w:jc w:val="both"/>
        <w:rPr>
          <w:rFonts w:ascii="Book Antiqua" w:hAnsi="Book Antiqua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Znak sprawy:  </w:t>
      </w:r>
      <w:r w:rsidR="00F20BEA">
        <w:rPr>
          <w:rFonts w:ascii="Arial" w:hAnsi="Arial" w:cs="Arial"/>
          <w:b/>
          <w:sz w:val="22"/>
          <w:szCs w:val="22"/>
        </w:rPr>
        <w:t xml:space="preserve"> </w:t>
      </w:r>
      <w:r w:rsidR="00746A44">
        <w:rPr>
          <w:rFonts w:ascii="Arial" w:hAnsi="Arial" w:cs="Arial"/>
          <w:b/>
          <w:sz w:val="22"/>
          <w:szCs w:val="22"/>
          <w:lang w:val="pl-PL"/>
        </w:rPr>
        <w:t>CRZP/200/2019/AEZ</w:t>
      </w: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  <w:lang w:val="pl-PL"/>
        </w:rPr>
        <w:t xml:space="preserve">            </w:t>
      </w:r>
      <w:r>
        <w:rPr>
          <w:rFonts w:ascii="Arial Narrow" w:hAnsi="Arial Narrow" w:cs="Arial Narrow"/>
        </w:rPr>
        <w:t>Zał. Nr „</w:t>
      </w:r>
      <w:r>
        <w:rPr>
          <w:rFonts w:ascii="Arial Narrow" w:hAnsi="Arial Narrow" w:cs="Arial Narrow"/>
          <w:lang w:val="pl-PL"/>
        </w:rPr>
        <w:t>3</w:t>
      </w:r>
      <w:r w:rsidR="004E7E25">
        <w:rPr>
          <w:rFonts w:ascii="Arial Narrow" w:hAnsi="Arial Narrow" w:cs="Arial Narrow"/>
          <w:lang w:val="pl-PL"/>
        </w:rPr>
        <w:t>8</w:t>
      </w:r>
      <w:bookmarkStart w:id="0" w:name="_GoBack"/>
      <w:bookmarkEnd w:id="0"/>
      <w:r>
        <w:rPr>
          <w:rFonts w:ascii="Arial Narrow" w:hAnsi="Arial Narrow" w:cs="Arial Narrow"/>
        </w:rPr>
        <w:t>” do Specyfikacji Istotnych Warunków Zamówienia</w:t>
      </w:r>
      <w:r>
        <w:rPr>
          <w:rFonts w:ascii="Arial Narrow" w:hAnsi="Arial Narrow" w:cs="Arial Narrow"/>
        </w:rPr>
        <w:tab/>
      </w:r>
      <w:r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bCs/>
          <w:sz w:val="22"/>
          <w:szCs w:val="22"/>
        </w:rPr>
        <w:t>Gd</w:t>
      </w:r>
      <w:r w:rsidR="00746A44">
        <w:rPr>
          <w:rFonts w:ascii="Book Antiqua" w:hAnsi="Book Antiqua"/>
          <w:bCs/>
          <w:sz w:val="22"/>
          <w:szCs w:val="22"/>
          <w:lang w:val="pl-PL"/>
        </w:rPr>
        <w:t>ynia</w:t>
      </w:r>
      <w:r>
        <w:rPr>
          <w:rFonts w:ascii="Book Antiqua" w:hAnsi="Book Antiqua"/>
          <w:bCs/>
          <w:sz w:val="22"/>
          <w:szCs w:val="22"/>
        </w:rPr>
        <w:t>, dnia ………………………..</w:t>
      </w:r>
    </w:p>
    <w:p w14:paraId="56D09153" w14:textId="77777777" w:rsidR="00BF4A42" w:rsidRPr="00746A44" w:rsidRDefault="00BF4A42">
      <w:pPr>
        <w:rPr>
          <w:rFonts w:ascii="Book Antiqua" w:hAnsi="Book Antiqua"/>
          <w:b/>
          <w:bCs/>
          <w:sz w:val="22"/>
          <w:szCs w:val="22"/>
          <w:lang w:val="x-none"/>
        </w:rPr>
      </w:pPr>
    </w:p>
    <w:p w14:paraId="1A640425" w14:textId="77777777" w:rsidR="00BF4A42" w:rsidRDefault="00506F09">
      <w:pPr>
        <w:contextualSpacing/>
        <w:rPr>
          <w:rFonts w:ascii="Book Antiqua" w:hAnsi="Book Antiqua"/>
          <w:bCs/>
          <w:sz w:val="22"/>
          <w:szCs w:val="22"/>
        </w:rPr>
      </w:pPr>
      <w:r>
        <w:rPr>
          <w:rFonts w:ascii="Book Antiqua" w:hAnsi="Book Antiqua"/>
          <w:bCs/>
          <w:sz w:val="22"/>
          <w:szCs w:val="22"/>
        </w:rPr>
        <w:t>…………………………………………</w:t>
      </w:r>
    </w:p>
    <w:p w14:paraId="09FFB94A" w14:textId="77777777" w:rsidR="00BF4A42" w:rsidRDefault="00506F09">
      <w:pPr>
        <w:contextualSpacing/>
        <w:rPr>
          <w:rFonts w:ascii="Book Antiqua" w:hAnsi="Book Antiqua"/>
          <w:bCs/>
          <w:i/>
          <w:sz w:val="22"/>
          <w:szCs w:val="22"/>
        </w:rPr>
      </w:pPr>
      <w:r>
        <w:rPr>
          <w:rFonts w:ascii="Book Antiqua" w:hAnsi="Book Antiqua"/>
          <w:bCs/>
          <w:i/>
          <w:sz w:val="22"/>
          <w:szCs w:val="22"/>
        </w:rPr>
        <w:t>(pieczątka nagłówkowa Podwykonawcy)</w:t>
      </w:r>
    </w:p>
    <w:p w14:paraId="3274080D" w14:textId="77777777" w:rsidR="00BF4A42" w:rsidRDefault="00BF4A42">
      <w:pPr>
        <w:contextualSpacing/>
        <w:jc w:val="center"/>
        <w:rPr>
          <w:rFonts w:ascii="Book Antiqua" w:hAnsi="Book Antiqua"/>
          <w:b/>
          <w:sz w:val="22"/>
          <w:szCs w:val="22"/>
        </w:rPr>
      </w:pPr>
    </w:p>
    <w:p w14:paraId="2865AF18" w14:textId="77777777" w:rsidR="00BF4A42" w:rsidRDefault="00BF4A42">
      <w:pPr>
        <w:contextualSpacing/>
        <w:jc w:val="center"/>
        <w:rPr>
          <w:rFonts w:ascii="Book Antiqua" w:hAnsi="Book Antiqua"/>
          <w:b/>
          <w:sz w:val="22"/>
          <w:szCs w:val="22"/>
        </w:rPr>
      </w:pPr>
    </w:p>
    <w:p w14:paraId="5FFAF36C" w14:textId="77777777" w:rsidR="00BF4A42" w:rsidRDefault="00506F09">
      <w:pPr>
        <w:contextualSpacing/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KARTA GWARANCYJNA</w:t>
      </w:r>
    </w:p>
    <w:p w14:paraId="39596FEB" w14:textId="77777777" w:rsidR="00BF4A42" w:rsidRDefault="00BF4A42">
      <w:pPr>
        <w:contextualSpacing/>
        <w:jc w:val="both"/>
        <w:rPr>
          <w:rFonts w:ascii="Book Antiqua" w:hAnsi="Book Antiqua"/>
          <w:sz w:val="22"/>
          <w:szCs w:val="22"/>
        </w:rPr>
      </w:pPr>
    </w:p>
    <w:p w14:paraId="3727639D" w14:textId="76B5ABC4" w:rsidR="00BF4A42" w:rsidRPr="00746A44" w:rsidRDefault="00506F09">
      <w:pPr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Gwarancja </w:t>
      </w:r>
      <w:r w:rsidRPr="00746A44">
        <w:rPr>
          <w:rFonts w:ascii="Book Antiqua" w:hAnsi="Book Antiqua"/>
          <w:sz w:val="22"/>
          <w:szCs w:val="22"/>
        </w:rPr>
        <w:t>jakości określona w niniejszej Karcie Gwarancyjnej została udzielona przez:  …………</w:t>
      </w:r>
      <w:r w:rsidRPr="00746A44">
        <w:rPr>
          <w:rFonts w:ascii="Book Antiqua" w:hAnsi="Book Antiqua"/>
          <w:i/>
          <w:iCs/>
          <w:sz w:val="22"/>
          <w:szCs w:val="22"/>
        </w:rPr>
        <w:t xml:space="preserve">(pełne dane rejestrowe Podwykonawcy ze wskazaniem osoby lub osób upoważnionych do składania oświadczeń)…….. </w:t>
      </w:r>
      <w:r w:rsidRPr="00746A44">
        <w:rPr>
          <w:rFonts w:ascii="Book Antiqua" w:hAnsi="Book Antiqua"/>
          <w:sz w:val="22"/>
          <w:szCs w:val="22"/>
        </w:rPr>
        <w:t xml:space="preserve"> zwanego dalej </w:t>
      </w:r>
      <w:r w:rsidRPr="00746A44">
        <w:rPr>
          <w:rFonts w:ascii="Book Antiqua" w:hAnsi="Book Antiqua"/>
          <w:b/>
          <w:sz w:val="22"/>
          <w:szCs w:val="22"/>
        </w:rPr>
        <w:t>Gwarantem</w:t>
      </w:r>
      <w:r w:rsidRPr="00746A44">
        <w:rPr>
          <w:rFonts w:ascii="Book Antiqua" w:hAnsi="Book Antiqua"/>
          <w:sz w:val="22"/>
          <w:szCs w:val="22"/>
        </w:rPr>
        <w:t xml:space="preserve"> dla </w:t>
      </w:r>
      <w:r w:rsidR="00746A44" w:rsidRPr="00746A44">
        <w:rPr>
          <w:rFonts w:ascii="Book Antiqua" w:hAnsi="Book Antiqua"/>
          <w:b/>
          <w:bCs/>
          <w:sz w:val="22"/>
          <w:szCs w:val="22"/>
        </w:rPr>
        <w:t>Uniwersytetu Morskiego w Gdyni, z siedzibą w Gdyni (81-225) przy ul. Morskiej 81-87, NIP: 586-001-28-73,</w:t>
      </w:r>
      <w:r w:rsidRPr="00746A44">
        <w:rPr>
          <w:rFonts w:ascii="Book Antiqua" w:hAnsi="Book Antiqua"/>
          <w:sz w:val="22"/>
          <w:szCs w:val="22"/>
        </w:rPr>
        <w:t xml:space="preserve">zwanego dalej </w:t>
      </w:r>
      <w:r w:rsidRPr="00746A44">
        <w:rPr>
          <w:rFonts w:ascii="Book Antiqua" w:hAnsi="Book Antiqua"/>
          <w:b/>
          <w:sz w:val="22"/>
          <w:szCs w:val="22"/>
        </w:rPr>
        <w:t>Zamawiającym.</w:t>
      </w:r>
    </w:p>
    <w:p w14:paraId="7D253E52" w14:textId="77777777" w:rsidR="00BF4A42" w:rsidRPr="00746A44" w:rsidRDefault="00506F09">
      <w:pPr>
        <w:contextualSpacing/>
        <w:jc w:val="center"/>
        <w:rPr>
          <w:rFonts w:ascii="Book Antiqua" w:hAnsi="Book Antiqua"/>
          <w:b/>
          <w:sz w:val="22"/>
          <w:szCs w:val="22"/>
        </w:rPr>
      </w:pPr>
      <w:r w:rsidRPr="00746A44">
        <w:rPr>
          <w:rFonts w:ascii="Book Antiqua" w:hAnsi="Book Antiqua"/>
          <w:b/>
          <w:sz w:val="22"/>
          <w:szCs w:val="22"/>
        </w:rPr>
        <w:t>§ 1</w:t>
      </w:r>
    </w:p>
    <w:p w14:paraId="18D4CA26" w14:textId="77777777" w:rsidR="00BF4A42" w:rsidRPr="0010190C" w:rsidRDefault="00506F09">
      <w:pPr>
        <w:pStyle w:val="Akapitzlis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746A44">
        <w:rPr>
          <w:rFonts w:ascii="Book Antiqua" w:hAnsi="Book Antiqua"/>
          <w:sz w:val="22"/>
          <w:szCs w:val="22"/>
        </w:rPr>
        <w:t xml:space="preserve">Niniejsza gwarancja obejmuje całość przedmiotu zamówienia </w:t>
      </w:r>
      <w:r w:rsidRPr="00746A44">
        <w:rPr>
          <w:rFonts w:ascii="Book Antiqua" w:hAnsi="Book Antiqua"/>
          <w:b/>
          <w:bCs/>
          <w:i/>
          <w:iCs/>
          <w:sz w:val="22"/>
          <w:szCs w:val="22"/>
        </w:rPr>
        <w:t>„Budowa budynku laboratoryjno-biurowo-warsztatowo</w:t>
      </w:r>
      <w:r w:rsidRPr="0010190C">
        <w:rPr>
          <w:rFonts w:ascii="Book Antiqua" w:hAnsi="Book Antiqua"/>
          <w:b/>
          <w:bCs/>
          <w:i/>
          <w:iCs/>
          <w:sz w:val="22"/>
          <w:szCs w:val="22"/>
        </w:rPr>
        <w:t>-magazynowego i obiektów towarzyszących w Gdańsku przy ul. Roberta de Plelo, na działce nr 41 obręb 073 oraz działkach sąsiednich nr  30/2,  31,  40 i 42 obręb 073 oraz działkach sąsiednich nr 30/2, 31, 40 i 42 obręb 073”</w:t>
      </w:r>
      <w:r w:rsidRPr="0010190C">
        <w:rPr>
          <w:rFonts w:ascii="Book Antiqua" w:hAnsi="Book Antiqua"/>
          <w:sz w:val="22"/>
          <w:szCs w:val="22"/>
        </w:rPr>
        <w:t xml:space="preserve"> określonego w umowie o roboty budowlane z dnia ……………………. zawartej między Gwarantem i Zamawiającym – zwanej dalej </w:t>
      </w:r>
      <w:r w:rsidRPr="0010190C">
        <w:rPr>
          <w:rFonts w:ascii="Book Antiqua" w:hAnsi="Book Antiqua"/>
          <w:b/>
          <w:sz w:val="22"/>
          <w:szCs w:val="22"/>
        </w:rPr>
        <w:t>Umową</w:t>
      </w:r>
      <w:r w:rsidRPr="0010190C">
        <w:rPr>
          <w:rFonts w:ascii="Book Antiqua" w:hAnsi="Book Antiqua"/>
          <w:sz w:val="22"/>
          <w:szCs w:val="22"/>
        </w:rPr>
        <w:t xml:space="preserve"> oraz w innych dokumentach będących integralną częścią umowy. </w:t>
      </w:r>
    </w:p>
    <w:p w14:paraId="365BDF1C" w14:textId="77777777" w:rsidR="00BF4A42" w:rsidRPr="0010190C" w:rsidRDefault="00506F09">
      <w:pPr>
        <w:pStyle w:val="Akapitzlis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Gwarant odpowiada wobec Zamawiającego na podstawie udzielonej gwarancji jakości za cały przedmiot Umowy, w tym także za części realizowane przez podwykonawców. Gwarant jest odpowiedzialny wobec Zamawiającego za realizację wszystkich zobowiązań, o których mowa w Umowie. </w:t>
      </w:r>
    </w:p>
    <w:p w14:paraId="7D8AFDB3" w14:textId="77777777" w:rsidR="00BF4A42" w:rsidRPr="0010190C" w:rsidRDefault="00506F09">
      <w:pPr>
        <w:pStyle w:val="Akapitzlis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Gwarant udziela gwarancji jakości jeżeli wada zostanie stwierdzona przed upływem ………………………… </w:t>
      </w:r>
      <w:r w:rsidRPr="0010190C">
        <w:rPr>
          <w:rFonts w:ascii="Book Antiqua" w:hAnsi="Book Antiqua"/>
          <w:i/>
          <w:sz w:val="22"/>
          <w:szCs w:val="22"/>
        </w:rPr>
        <w:t>(Wpis w zależności od treści oferty Wykonawcy)………</w:t>
      </w:r>
      <w:r w:rsidRPr="0010190C">
        <w:rPr>
          <w:rFonts w:ascii="Book Antiqua" w:hAnsi="Book Antiqua"/>
          <w:sz w:val="22"/>
          <w:szCs w:val="22"/>
        </w:rPr>
        <w:t xml:space="preserve"> licząc od dnia podpisania Protokołu Odbioru Końcowego. </w:t>
      </w:r>
    </w:p>
    <w:p w14:paraId="5833B5A3" w14:textId="77777777" w:rsidR="00BF4A42" w:rsidRPr="0010190C" w:rsidRDefault="00506F09">
      <w:pPr>
        <w:pStyle w:val="Akapitzlis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Ilekroć w niniejszej Karcie Gwarancyjnej jest mowa o wadzie, należy przez to rozumieć wadę fizyczną, o której mowa w art. 556</w:t>
      </w:r>
      <w:r w:rsidRPr="0010190C">
        <w:rPr>
          <w:rFonts w:ascii="Book Antiqua" w:hAnsi="Book Antiqua"/>
          <w:sz w:val="22"/>
          <w:szCs w:val="22"/>
          <w:vertAlign w:val="superscript"/>
        </w:rPr>
        <w:t>1</w:t>
      </w:r>
      <w:r w:rsidRPr="0010190C">
        <w:rPr>
          <w:rFonts w:ascii="Book Antiqua" w:hAnsi="Book Antiqua"/>
          <w:sz w:val="22"/>
          <w:szCs w:val="22"/>
        </w:rPr>
        <w:t xml:space="preserve"> k.c., dotyczącą Robót lub Inwestycji określonych w Umowie.</w:t>
      </w:r>
    </w:p>
    <w:p w14:paraId="52CC008F" w14:textId="77777777" w:rsidR="00BF4A42" w:rsidRPr="0010190C" w:rsidRDefault="00506F09">
      <w:pPr>
        <w:pStyle w:val="Akapitzlis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Uprawnienia Zamawiającego opisane w Karcie Gwarancyjnej nie uchybiają uprawnieniom Zamawiającego opisanym w Umowie. W przypadku sprzeczności tych uprawnień decydują uprawnienia opisane w Umowie. W przypadku zbiegu uprawnień wybór uprawnienia należy do Zamawiającego.</w:t>
      </w:r>
    </w:p>
    <w:p w14:paraId="773E5FB0" w14:textId="77777777" w:rsidR="00BF4A42" w:rsidRPr="0010190C" w:rsidRDefault="00506F09">
      <w:pPr>
        <w:contextualSpacing/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2</w:t>
      </w:r>
    </w:p>
    <w:p w14:paraId="2EE9D8CD" w14:textId="77777777" w:rsidR="00BF4A42" w:rsidRPr="0010190C" w:rsidRDefault="00506F09">
      <w:pPr>
        <w:pStyle w:val="Akapitzlist"/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 przypadku wystąpienia jakiejkolwiek wady Zamawiający jest uprawniony do: </w:t>
      </w:r>
    </w:p>
    <w:p w14:paraId="5C2EFFAC" w14:textId="77777777" w:rsidR="00BF4A42" w:rsidRPr="0010190C" w:rsidRDefault="00506F09">
      <w:pPr>
        <w:pStyle w:val="Akapitzlist"/>
        <w:numPr>
          <w:ilvl w:val="1"/>
          <w:numId w:val="3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żądania usunięcia wady, a w przypadku, gdy dana rzecz była już dwukrotnie naprawiana do żądania wymiany tej rzeczy na nową, wolną od wad; </w:t>
      </w:r>
    </w:p>
    <w:p w14:paraId="1213431A" w14:textId="77777777" w:rsidR="00BF4A42" w:rsidRPr="0010190C" w:rsidRDefault="00506F09">
      <w:pPr>
        <w:pStyle w:val="Akapitzlist"/>
        <w:numPr>
          <w:ilvl w:val="1"/>
          <w:numId w:val="3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wskazania trybu usunięcia wady/wymiany rzeczy na wolną od wad; </w:t>
      </w:r>
    </w:p>
    <w:p w14:paraId="0801F937" w14:textId="77777777" w:rsidR="00BF4A42" w:rsidRPr="0010190C" w:rsidRDefault="00506F09">
      <w:pPr>
        <w:pStyle w:val="Akapitzlist"/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 przypadku wystąpienia jakiejkolwiek wady Gwarant jest zobowiązany do: </w:t>
      </w:r>
    </w:p>
    <w:p w14:paraId="4EC2725F" w14:textId="77777777" w:rsidR="00BF4A42" w:rsidRPr="0010190C" w:rsidRDefault="00506F09">
      <w:pPr>
        <w:pStyle w:val="Akapitzlist"/>
        <w:numPr>
          <w:ilvl w:val="0"/>
          <w:numId w:val="4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lastRenderedPageBreak/>
        <w:t xml:space="preserve">terminowego spełnienia żądania Zamawiającego dotyczącego usunięcia wady, przy czym usuniecie wady może nastąpić również poprzez wymianę rzeczy wchodzącej w zakres przedmiotu Umowy na wolną od wad; </w:t>
      </w:r>
    </w:p>
    <w:p w14:paraId="14AA739E" w14:textId="56AEC46D" w:rsidR="00BF4A42" w:rsidRPr="0010190C" w:rsidRDefault="00506F09">
      <w:pPr>
        <w:pStyle w:val="Akapitzlist"/>
        <w:numPr>
          <w:ilvl w:val="0"/>
          <w:numId w:val="4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terminowego spełnienia </w:t>
      </w:r>
      <w:r w:rsidR="00C33E12" w:rsidRPr="0010190C">
        <w:rPr>
          <w:rFonts w:ascii="Book Antiqua" w:hAnsi="Book Antiqua"/>
          <w:sz w:val="22"/>
          <w:szCs w:val="22"/>
        </w:rPr>
        <w:t xml:space="preserve">żądania </w:t>
      </w:r>
      <w:r w:rsidRPr="0010190C">
        <w:rPr>
          <w:rFonts w:ascii="Book Antiqua" w:hAnsi="Book Antiqua"/>
          <w:sz w:val="22"/>
          <w:szCs w:val="22"/>
        </w:rPr>
        <w:t xml:space="preserve">Zamawiającego dotyczącego wymiany rzeczy na wolną od wad; </w:t>
      </w:r>
    </w:p>
    <w:p w14:paraId="6A22245A" w14:textId="77777777" w:rsidR="00BF4A42" w:rsidRPr="0010190C" w:rsidRDefault="00506F09">
      <w:pPr>
        <w:pStyle w:val="Akapitzlist"/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Ilekroć w dalszych postanowieniach jest mowa o „usunięciu wady” należy przez to rozumieć również wymianę rzeczy na wolną od wad. </w:t>
      </w:r>
    </w:p>
    <w:p w14:paraId="3AD97420" w14:textId="77777777" w:rsidR="00BF4A42" w:rsidRPr="0010190C" w:rsidRDefault="00506F09">
      <w:pPr>
        <w:contextualSpacing/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3</w:t>
      </w:r>
    </w:p>
    <w:p w14:paraId="4348CAE3" w14:textId="77777777" w:rsidR="00BF4A42" w:rsidRPr="0010190C" w:rsidRDefault="00506F09">
      <w:pPr>
        <w:pStyle w:val="Akapitzlist"/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Komisyjne przeglądy gwarancyjne odbywać się będą co sześć miesięcy, licząc od miesiąca obowiązywania niniejszej gwarancji</w:t>
      </w:r>
      <w:r w:rsidRPr="0010190C">
        <w:rPr>
          <w:rFonts w:eastAsia="Verdana" w:cs="Verdana"/>
        </w:rPr>
        <w:t xml:space="preserve"> </w:t>
      </w:r>
      <w:r w:rsidRPr="0010190C">
        <w:rPr>
          <w:rFonts w:ascii="Book Antiqua" w:hAnsi="Book Antiqua"/>
          <w:sz w:val="22"/>
          <w:szCs w:val="22"/>
        </w:rPr>
        <w:t xml:space="preserve">i zawsze, kiedy Zamawiający uzna to za uzasadnione w okresie obowiązywania gwarancji. </w:t>
      </w:r>
    </w:p>
    <w:p w14:paraId="5A9C4972" w14:textId="77777777" w:rsidR="00BF4A42" w:rsidRPr="0010190C" w:rsidRDefault="00506F09">
      <w:pPr>
        <w:pStyle w:val="Akapitzlist"/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Datę, godzinę i miejsce dokonania przeglądu gwarancyjnego wyznacza Zamawiający, zawiadamiając o nim Gwaranta na piśmie z co najmniej 14 dniowym wyprzedzeniem. </w:t>
      </w:r>
    </w:p>
    <w:p w14:paraId="38BA723B" w14:textId="1B167771" w:rsidR="00BF4A42" w:rsidRPr="0010190C" w:rsidRDefault="00506F09">
      <w:pPr>
        <w:pStyle w:val="Akapitzlist"/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 skład komisji przeglądowej będzie wchodziła co najmniej jedna osoba wyznaczona przez Zamawiającego oraz co najmniej jedna osoba wyznaczona przez Gwaranta. </w:t>
      </w:r>
    </w:p>
    <w:p w14:paraId="63BD16C6" w14:textId="77777777" w:rsidR="00BF4A42" w:rsidRPr="0010190C" w:rsidRDefault="00506F09">
      <w:pPr>
        <w:pStyle w:val="Akapitzlist"/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Jeżeli Gwarant został prawidłowo zawiadomiony o terminie i miejscu dokonania przeglądu gwarancyjnego, niestawienie się jego przedstawicieli nie będzie wywoływało żadnych ujemnych skutków dla ważności i skuteczności ustaleń dokonanych przez komisję przeglądową. </w:t>
      </w:r>
    </w:p>
    <w:p w14:paraId="681FA5DC" w14:textId="77777777" w:rsidR="00BF4A42" w:rsidRPr="0010190C" w:rsidRDefault="00506F09">
      <w:pPr>
        <w:pStyle w:val="Akapitzlist"/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 </w:t>
      </w:r>
    </w:p>
    <w:p w14:paraId="212AD366" w14:textId="77777777" w:rsidR="00BF4A42" w:rsidRPr="0010190C" w:rsidRDefault="00506F09">
      <w:pPr>
        <w:ind w:left="360"/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4</w:t>
      </w:r>
    </w:p>
    <w:p w14:paraId="02FCA7CE" w14:textId="77777777" w:rsidR="00BF4A42" w:rsidRPr="0010190C" w:rsidRDefault="00506F09">
      <w:pPr>
        <w:pStyle w:val="Akapitzlist"/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 przypadku ujawnienia wady w czasie innym niż podczas przeglądu gwarancyjnego, Zamawiający niezwłocznie, lecz nie później niż w ciągu 14 dni od ujawnienia wady, zawiadomi na piśmie o niej Gwaranta, równocześnie wzywając go do usunięcia ujawnionej wady. </w:t>
      </w:r>
    </w:p>
    <w:p w14:paraId="31BE42B5" w14:textId="77777777" w:rsidR="00BF4A42" w:rsidRPr="0010190C" w:rsidRDefault="00506F09">
      <w:pPr>
        <w:pStyle w:val="Akapitzlist"/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Gwarant obowiązany jest przystąpić do usuwania ujawnionej wady w ciągu 3 dni od daty otrzymania wezwania lub daty sporządzenia Protokołu Przeglądu Gwarancyjnego. Termin usuwania wad nie może być dłuższy niż 21 dni od daty przystąpienia do usuwania awarii (</w:t>
      </w:r>
      <w:r w:rsidRPr="0010190C">
        <w:rPr>
          <w:rFonts w:ascii="Book Antiqua" w:hAnsi="Book Antiqua"/>
          <w:b/>
          <w:sz w:val="22"/>
          <w:szCs w:val="22"/>
        </w:rPr>
        <w:t>tryb zwykły</w:t>
      </w:r>
      <w:r w:rsidRPr="0010190C">
        <w:rPr>
          <w:rFonts w:ascii="Book Antiqua" w:hAnsi="Book Antiqua"/>
          <w:sz w:val="22"/>
          <w:szCs w:val="22"/>
        </w:rPr>
        <w:t xml:space="preserve">), chyba że strony ustalą inaczej w szczególności w przypadku, gdy ze względu na technologię naprawy nie będzie obiektywnej możliwości zachowania terminu 21 dni. </w:t>
      </w:r>
    </w:p>
    <w:p w14:paraId="6B11EE6C" w14:textId="77777777" w:rsidR="00BF4A42" w:rsidRPr="0010190C" w:rsidRDefault="00506F09">
      <w:pPr>
        <w:pStyle w:val="Akapitzlist"/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Usunięcie wad uważa się za skuteczne z chwilą podpisania przez obie strony Protokołu odbioru prac z usuwania wad. </w:t>
      </w:r>
    </w:p>
    <w:p w14:paraId="29F49FD2" w14:textId="77777777" w:rsidR="00BF4A42" w:rsidRPr="0010190C" w:rsidRDefault="00506F09">
      <w:pPr>
        <w:pStyle w:val="Akapitzlist"/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W przypadku, kiedy ujawniona wada ogranicza lub uniemożliwia działanie części lub całości Inwestycji, a także gdy ujawniona wada może skutkować zagrożeniem dla życia lub zdrowia ludzi, zanieczyszczeniem środowiska, wystąpieniem niepowetowanej szkody dla Zamawiającego lub osób trzecich, jak również w innych przypadkach nie cierpiących zwłoki awaria zostanie usunięta przez Gwaranta w ciągu 72 godzin. Gwarant zostanie powiadomiony o takiej awarii w ciągu 24 godzin od jej wystąpienia (</w:t>
      </w:r>
      <w:r w:rsidRPr="0010190C">
        <w:rPr>
          <w:rFonts w:ascii="Book Antiqua" w:hAnsi="Book Antiqua"/>
          <w:b/>
          <w:sz w:val="22"/>
          <w:szCs w:val="22"/>
        </w:rPr>
        <w:t>tryb awaryjny</w:t>
      </w:r>
      <w:r w:rsidRPr="0010190C">
        <w:rPr>
          <w:rFonts w:ascii="Book Antiqua" w:hAnsi="Book Antiqua"/>
          <w:sz w:val="22"/>
          <w:szCs w:val="22"/>
        </w:rPr>
        <w:t xml:space="preserve">). </w:t>
      </w:r>
    </w:p>
    <w:p w14:paraId="28A3F50F" w14:textId="77777777" w:rsidR="00BF4A42" w:rsidRPr="0010190C" w:rsidRDefault="00506F09">
      <w:pPr>
        <w:pStyle w:val="Akapitzlist"/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Wada powinna być usunięta przez Gwaranta w miejscu, w którym rzecz (urządzenie)  znajduje się w chwili ujawnienia wady. W przypadku gdy, wada nie może być usunięta w miejscu, w którym rzecz (urządzenie) znajduje się, Gwarant jest zobowiązany odebrać na swój koszt i ryzyko rzecz (urządzenie) z miejsca, w którym rzecz znajduje się (jest zamontowana), a następnie, po usunięciu wady lub dokonaniu wymiany rzeczy (urządzenia) na nową/e, Gwarant zobowiązany jest dostarczyć i zamontować rzecz (urządzenie) na koszt i ryzyko Gwaranta. </w:t>
      </w:r>
    </w:p>
    <w:p w14:paraId="34FD1C03" w14:textId="77777777" w:rsidR="00BF4A42" w:rsidRPr="0010190C" w:rsidRDefault="00506F09">
      <w:pPr>
        <w:pStyle w:val="Akapitzlist"/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Strony mogą ustanowić osobne porozumienie o usuwaniu wad w trybie awaryjnym przez podmiot trzeci na koszt Gwaranta. </w:t>
      </w:r>
    </w:p>
    <w:p w14:paraId="6D287794" w14:textId="77777777" w:rsidR="00BF4A42" w:rsidRPr="0010190C" w:rsidRDefault="00506F09">
      <w:pPr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5</w:t>
      </w:r>
    </w:p>
    <w:p w14:paraId="44805676" w14:textId="77777777" w:rsidR="00BF4A42" w:rsidRPr="0010190C" w:rsidRDefault="00506F09">
      <w:pPr>
        <w:pStyle w:val="Akapitzlist"/>
        <w:numPr>
          <w:ilvl w:val="0"/>
          <w:numId w:val="7"/>
        </w:numPr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Gwarancja nie obejmuje wad spowodowanych na skutek okoliczności niezależnych od Gwaranta:</w:t>
      </w:r>
    </w:p>
    <w:p w14:paraId="0A81C3B6" w14:textId="77777777" w:rsidR="00BF4A42" w:rsidRPr="0010190C" w:rsidRDefault="00506F09">
      <w:pPr>
        <w:pStyle w:val="Akapitzlist"/>
        <w:numPr>
          <w:ilvl w:val="0"/>
          <w:numId w:val="9"/>
        </w:numPr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działaniem siły wyższej,</w:t>
      </w:r>
    </w:p>
    <w:p w14:paraId="2F3DE49A" w14:textId="77777777" w:rsidR="00BF4A42" w:rsidRPr="0010190C" w:rsidRDefault="00506F09">
      <w:pPr>
        <w:pStyle w:val="Akapitzlist"/>
        <w:numPr>
          <w:ilvl w:val="0"/>
          <w:numId w:val="9"/>
        </w:numPr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użytkowaniem lub eksploatacją sprzeczną z doręczoną Zamawiającemu instrukcją obsługi,</w:t>
      </w:r>
    </w:p>
    <w:p w14:paraId="7477A65C" w14:textId="77777777" w:rsidR="00BF4A42" w:rsidRPr="0010190C" w:rsidRDefault="00506F09">
      <w:pPr>
        <w:pStyle w:val="Akapitzlist"/>
        <w:numPr>
          <w:ilvl w:val="0"/>
          <w:numId w:val="9"/>
        </w:numPr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uszkodzeniami mechanicznymi.</w:t>
      </w:r>
    </w:p>
    <w:p w14:paraId="2D35FD07" w14:textId="77777777" w:rsidR="00BF4A42" w:rsidRPr="0010190C" w:rsidRDefault="00506F09">
      <w:pPr>
        <w:pStyle w:val="Akapitzlist"/>
        <w:numPr>
          <w:ilvl w:val="0"/>
          <w:numId w:val="7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Ciężar dowodu na wyłączenie uprawnień gwarancyjnych obciąża Gwaranta.</w:t>
      </w:r>
    </w:p>
    <w:p w14:paraId="0B38B4B6" w14:textId="77777777" w:rsidR="00BF4A42" w:rsidRPr="0010190C" w:rsidRDefault="00506F09">
      <w:pPr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6</w:t>
      </w:r>
    </w:p>
    <w:p w14:paraId="19796251" w14:textId="77777777" w:rsidR="00BF4A42" w:rsidRPr="0010190C" w:rsidRDefault="00506F09">
      <w:pPr>
        <w:pStyle w:val="Akapitzlist"/>
        <w:numPr>
          <w:ilvl w:val="0"/>
          <w:numId w:val="10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Niezależnie od udzielonej gwarancji, Gwarant niniejszym upoważnia Zamawiającego do wykonywania uprawnień z gwarancji przysługujących Gwarantowi wobec podmiotów, wobec których Gwarantowi przysługują takie uprawnienia, tj. w szczególności wobec producentów urządzeń, podwykonawców.</w:t>
      </w:r>
    </w:p>
    <w:p w14:paraId="60BD79BE" w14:textId="77777777" w:rsidR="00BF4A42" w:rsidRPr="0010190C" w:rsidRDefault="00506F09">
      <w:pPr>
        <w:pStyle w:val="Akapitzlist"/>
        <w:numPr>
          <w:ilvl w:val="0"/>
          <w:numId w:val="10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Gwarant nie może wyłączyć swojej odpowiedzialności z tytułu gwarancji jakości powołując się na powyższe upoważnienie Zamawiającego. Skorzystanie przez Zamawiającego z uprawnień gwarancyjnych przysługujących Gwarantowi jest uprawnieniem a nie obowiązkiem Zamawiającego.</w:t>
      </w:r>
    </w:p>
    <w:p w14:paraId="5FF45054" w14:textId="77777777" w:rsidR="00BF4A42" w:rsidRPr="0010190C" w:rsidRDefault="00506F09">
      <w:pPr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7</w:t>
      </w:r>
    </w:p>
    <w:p w14:paraId="3ABA8C58" w14:textId="72ACE752" w:rsidR="00BF4A42" w:rsidRPr="0010190C" w:rsidRDefault="00506F09">
      <w:pPr>
        <w:pStyle w:val="Akapitzlist"/>
        <w:numPr>
          <w:ilvl w:val="0"/>
          <w:numId w:val="1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Gwarant wskazuje następujące dane teleadresowe (w tym adres email i numer telefonu) do realizacji uprawnień gwarancyjnych przez</w:t>
      </w:r>
      <w:r w:rsidR="00C33E12" w:rsidRPr="0010190C">
        <w:rPr>
          <w:rFonts w:ascii="Book Antiqua" w:hAnsi="Book Antiqua"/>
          <w:sz w:val="22"/>
          <w:szCs w:val="22"/>
        </w:rPr>
        <w:t xml:space="preserve"> </w:t>
      </w:r>
      <w:r w:rsidRPr="0010190C">
        <w:rPr>
          <w:rFonts w:ascii="Book Antiqua" w:hAnsi="Book Antiqua"/>
          <w:sz w:val="22"/>
          <w:szCs w:val="22"/>
        </w:rPr>
        <w:t>Zamawiającego: …………………….</w:t>
      </w:r>
    </w:p>
    <w:p w14:paraId="21A6E00A" w14:textId="77777777" w:rsidR="00BF4A42" w:rsidRPr="0010190C" w:rsidRDefault="00506F09">
      <w:pPr>
        <w:pStyle w:val="Akapitzlist"/>
        <w:numPr>
          <w:ilvl w:val="0"/>
          <w:numId w:val="1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Zamawiający wskazuje następujące dane teleadresowe (w tym adres email i numer telefonu) do kontaktów z Gwarantem: …………………….</w:t>
      </w:r>
    </w:p>
    <w:p w14:paraId="19EDB1D5" w14:textId="77777777" w:rsidR="00BF4A42" w:rsidRPr="0010190C" w:rsidRDefault="00506F09">
      <w:pPr>
        <w:pStyle w:val="Akapitzlist"/>
        <w:numPr>
          <w:ilvl w:val="0"/>
          <w:numId w:val="11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O zmianach w danych teleadresowych Strony obowiązane są informować się niezwłocznie, nie później niż 3 dni od chwili zaistnienia zmian, pod rygorem uznania wysłania korespondencji pod ostatnio znany adres za skutecznie doręczony.</w:t>
      </w:r>
    </w:p>
    <w:p w14:paraId="4ECBF5D2" w14:textId="77777777" w:rsidR="00BF4A42" w:rsidRPr="0010190C" w:rsidRDefault="00506F09">
      <w:pPr>
        <w:ind w:left="360"/>
        <w:jc w:val="center"/>
        <w:rPr>
          <w:rFonts w:ascii="Book Antiqua" w:hAnsi="Book Antiqua"/>
          <w:b/>
          <w:sz w:val="22"/>
          <w:szCs w:val="22"/>
        </w:rPr>
      </w:pPr>
      <w:r w:rsidRPr="0010190C">
        <w:rPr>
          <w:rFonts w:ascii="Book Antiqua" w:hAnsi="Book Antiqua"/>
          <w:b/>
          <w:sz w:val="22"/>
          <w:szCs w:val="22"/>
        </w:rPr>
        <w:t>§ 8</w:t>
      </w:r>
    </w:p>
    <w:p w14:paraId="01A25109" w14:textId="77777777" w:rsidR="00BF4A42" w:rsidRPr="0010190C" w:rsidRDefault="00506F09">
      <w:pPr>
        <w:pStyle w:val="Akapitzlist"/>
        <w:numPr>
          <w:ilvl w:val="0"/>
          <w:numId w:val="8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 sprawach nieuregulowanych zastosowanie mają odpowiednie przepisy prawa polskiego, w szczególności Kodeksu cywilnego oraz ustawy Prawo zamówień publicznych. </w:t>
      </w:r>
    </w:p>
    <w:p w14:paraId="4B0B6E48" w14:textId="77777777" w:rsidR="00BF4A42" w:rsidRPr="0010190C" w:rsidRDefault="00506F09">
      <w:pPr>
        <w:pStyle w:val="Akapitzlist"/>
        <w:numPr>
          <w:ilvl w:val="0"/>
          <w:numId w:val="8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Wszelkie zmiany niniejszej Karty Gwarancyjnej wymagają formy pisemnej pod rygorem nieważności oraz uprzedniej zgody Zamawiającego wyrażonej na piśmie pod rygorem nieważności. </w:t>
      </w:r>
    </w:p>
    <w:p w14:paraId="109299DA" w14:textId="77777777" w:rsidR="00BF4A42" w:rsidRPr="0010190C" w:rsidRDefault="00506F09">
      <w:pPr>
        <w:pStyle w:val="Akapitzlist"/>
        <w:numPr>
          <w:ilvl w:val="0"/>
          <w:numId w:val="8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Gwarant jest obowiązany w terminie 7 dni od daty złożenia wniosku o upadłość lub likwidację powiadomić na piśmie o tym fakcie Zamawiającego. </w:t>
      </w:r>
    </w:p>
    <w:p w14:paraId="6324E908" w14:textId="77777777" w:rsidR="00BF4A42" w:rsidRPr="0010190C" w:rsidRDefault="00506F09">
      <w:pPr>
        <w:pStyle w:val="Akapitzlist"/>
        <w:numPr>
          <w:ilvl w:val="0"/>
          <w:numId w:val="8"/>
        </w:numPr>
        <w:jc w:val="both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 xml:space="preserve">Niniejszą Kartę Gwarancyjną sporządzono w dwóch egzemplarzach na prawach oryginału, po jednym dla Zamawiającego i dla Gwaranta. </w:t>
      </w:r>
    </w:p>
    <w:p w14:paraId="1A0CB186" w14:textId="77777777" w:rsidR="00BF4A42" w:rsidRPr="0010190C" w:rsidRDefault="00BF4A42">
      <w:pPr>
        <w:contextualSpacing/>
        <w:jc w:val="both"/>
        <w:rPr>
          <w:rFonts w:ascii="Book Antiqua" w:hAnsi="Book Antiqua"/>
          <w:sz w:val="22"/>
          <w:szCs w:val="22"/>
        </w:rPr>
      </w:pPr>
    </w:p>
    <w:p w14:paraId="74031E72" w14:textId="77777777" w:rsidR="00BF4A42" w:rsidRPr="0010190C" w:rsidRDefault="00506F09">
      <w:pPr>
        <w:ind w:left="4536"/>
        <w:contextualSpacing/>
        <w:jc w:val="center"/>
        <w:rPr>
          <w:rFonts w:ascii="Book Antiqua" w:hAnsi="Book Antiqua"/>
          <w:sz w:val="22"/>
          <w:szCs w:val="22"/>
        </w:rPr>
      </w:pPr>
      <w:r w:rsidRPr="0010190C">
        <w:rPr>
          <w:rFonts w:ascii="Book Antiqua" w:hAnsi="Book Antiqua"/>
          <w:sz w:val="22"/>
          <w:szCs w:val="22"/>
        </w:rPr>
        <w:t>.........................................................</w:t>
      </w:r>
    </w:p>
    <w:p w14:paraId="36B3E12B" w14:textId="77777777" w:rsidR="00BF4A42" w:rsidRDefault="00506F09">
      <w:pPr>
        <w:ind w:left="4536"/>
        <w:contextualSpacing/>
        <w:jc w:val="center"/>
        <w:rPr>
          <w:rFonts w:ascii="Book Antiqua" w:hAnsi="Book Antiqua"/>
          <w:i/>
          <w:iCs/>
          <w:sz w:val="22"/>
          <w:szCs w:val="22"/>
        </w:rPr>
      </w:pPr>
      <w:r w:rsidRPr="0010190C">
        <w:rPr>
          <w:rFonts w:ascii="Book Antiqua" w:hAnsi="Book Antiqua"/>
          <w:i/>
          <w:iCs/>
          <w:sz w:val="22"/>
          <w:szCs w:val="22"/>
        </w:rPr>
        <w:t>(podpisy osób uprawnionych do reprezentacji Gwarant</w:t>
      </w:r>
      <w:r>
        <w:rPr>
          <w:rFonts w:ascii="Book Antiqua" w:hAnsi="Book Antiqua"/>
          <w:i/>
          <w:iCs/>
          <w:sz w:val="22"/>
          <w:szCs w:val="22"/>
        </w:rPr>
        <w:t>a)</w:t>
      </w:r>
    </w:p>
    <w:sectPr w:rsidR="00BF4A42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8DCB3" w14:textId="77777777" w:rsidR="00B91733" w:rsidRDefault="00B91733">
      <w:pPr>
        <w:spacing w:after="0" w:line="240" w:lineRule="auto"/>
      </w:pPr>
      <w:r>
        <w:separator/>
      </w:r>
    </w:p>
  </w:endnote>
  <w:endnote w:type="continuationSeparator" w:id="0">
    <w:p w14:paraId="6786AFCC" w14:textId="77777777" w:rsidR="00B91733" w:rsidRDefault="00B91733">
      <w:pPr>
        <w:spacing w:after="0" w:line="240" w:lineRule="auto"/>
      </w:pPr>
      <w:r>
        <w:continuationSeparator/>
      </w:r>
    </w:p>
  </w:endnote>
  <w:endnote w:type="continuationNotice" w:id="1">
    <w:p w14:paraId="387497CA" w14:textId="77777777" w:rsidR="00B91733" w:rsidRDefault="00B917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496894"/>
      <w:docPartObj>
        <w:docPartGallery w:val="Page Numbers (Bottom of Page)"/>
        <w:docPartUnique/>
      </w:docPartObj>
    </w:sdtPr>
    <w:sdtEndPr/>
    <w:sdtContent>
      <w:sdt>
        <w:sdtPr>
          <w:id w:val="2048028505"/>
          <w:docPartObj>
            <w:docPartGallery w:val="Page Numbers (Top of Page)"/>
            <w:docPartUnique/>
          </w:docPartObj>
        </w:sdtPr>
        <w:sdtEndPr/>
        <w:sdtContent>
          <w:p w14:paraId="29B489BD" w14:textId="77777777" w:rsidR="00BF4A42" w:rsidRDefault="00506F09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0B293272" wp14:editId="46810699">
                  <wp:extent cx="7023100" cy="194945"/>
                  <wp:effectExtent l="0" t="0" r="635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0" cy="194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7E2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7E2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1748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EB9C69" w14:textId="77777777" w:rsidR="00BF4A42" w:rsidRDefault="00506F09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39C67F62" wp14:editId="0F1198E3">
                  <wp:extent cx="7023100" cy="194945"/>
                  <wp:effectExtent l="0" t="0" r="635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0" cy="194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173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173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DC3506" w14:textId="77777777" w:rsidR="00BF4A42" w:rsidRDefault="00BF4A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1409F" w14:textId="77777777" w:rsidR="00B91733" w:rsidRDefault="00B91733">
      <w:pPr>
        <w:spacing w:after="0" w:line="240" w:lineRule="auto"/>
      </w:pPr>
      <w:r>
        <w:separator/>
      </w:r>
    </w:p>
  </w:footnote>
  <w:footnote w:type="continuationSeparator" w:id="0">
    <w:p w14:paraId="66326842" w14:textId="77777777" w:rsidR="00B91733" w:rsidRDefault="00B91733">
      <w:pPr>
        <w:spacing w:after="0" w:line="240" w:lineRule="auto"/>
      </w:pPr>
      <w:r>
        <w:continuationSeparator/>
      </w:r>
    </w:p>
  </w:footnote>
  <w:footnote w:type="continuationNotice" w:id="1">
    <w:p w14:paraId="622B4E51" w14:textId="77777777" w:rsidR="00B91733" w:rsidRDefault="00B917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2B170" w14:textId="77777777" w:rsidR="00BF4A42" w:rsidRDefault="00506F09">
    <w:pPr>
      <w:pStyle w:val="Nagwek"/>
    </w:pPr>
    <w:r>
      <w:rPr>
        <w:noProof/>
      </w:rPr>
      <w:drawing>
        <wp:inline distT="0" distB="0" distL="0" distR="0" wp14:anchorId="5EE6E47C" wp14:editId="5AD85F22">
          <wp:extent cx="6645910" cy="716250"/>
          <wp:effectExtent l="0" t="0" r="2540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71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118D"/>
    <w:multiLevelType w:val="hybridMultilevel"/>
    <w:tmpl w:val="049E7A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B12F2B"/>
    <w:multiLevelType w:val="hybridMultilevel"/>
    <w:tmpl w:val="A63A8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52070"/>
    <w:multiLevelType w:val="hybridMultilevel"/>
    <w:tmpl w:val="59B84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77A54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D23DB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655C8"/>
    <w:multiLevelType w:val="hybridMultilevel"/>
    <w:tmpl w:val="3E3CFAA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F83FF8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B60A6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67CED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4475F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65210"/>
    <w:multiLevelType w:val="hybridMultilevel"/>
    <w:tmpl w:val="D85A6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2"/>
    <w:rsid w:val="000D1AFE"/>
    <w:rsid w:val="0010190C"/>
    <w:rsid w:val="004E7E25"/>
    <w:rsid w:val="00506F09"/>
    <w:rsid w:val="005B382D"/>
    <w:rsid w:val="00746A44"/>
    <w:rsid w:val="0091791B"/>
    <w:rsid w:val="009200BA"/>
    <w:rsid w:val="00B91733"/>
    <w:rsid w:val="00BF4A42"/>
    <w:rsid w:val="00C33E12"/>
    <w:rsid w:val="00D30B92"/>
    <w:rsid w:val="00F2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96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Calibri" w:hAnsi="Verdana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120" w:after="120"/>
      <w:outlineLvl w:val="0"/>
    </w:pPr>
    <w:rPr>
      <w:rFonts w:eastAsia="Times New Roman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spacing w:before="120" w:after="120"/>
      <w:outlineLvl w:val="1"/>
    </w:pPr>
    <w:rPr>
      <w:rFonts w:eastAsia="Times New Roman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eastAsia="Times New Roman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link w:val="Tekstkomentarza"/>
    <w:uiPriority w:val="99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Pr>
      <w:rFonts w:eastAsia="Times New Roman"/>
      <w:b/>
      <w:bCs/>
      <w:kern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pPr>
      <w:tabs>
        <w:tab w:val="left" w:pos="426"/>
        <w:tab w:val="right" w:leader="dot" w:pos="9072"/>
      </w:tabs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pPr>
      <w:spacing w:after="100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pPr>
      <w:spacing w:after="100"/>
      <w:ind w:left="440"/>
    </w:pPr>
    <w:rPr>
      <w:rFonts w:eastAsia="Times New Roman"/>
    </w:rPr>
  </w:style>
  <w:style w:type="character" w:customStyle="1" w:styleId="Nagwek2Znak">
    <w:name w:val="Nagłówek 2 Znak"/>
    <w:link w:val="Nagwek2"/>
    <w:uiPriority w:val="9"/>
    <w:rPr>
      <w:rFonts w:eastAsia="Times New Roman"/>
      <w:b/>
      <w:bCs/>
      <w:iCs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Verdana" w:eastAsia="Times New Roman" w:hAnsi="Verdana" w:cs="Times New Roman"/>
      <w:b/>
      <w:bCs/>
      <w:szCs w:val="26"/>
      <w:lang w:eastAsia="en-US"/>
    </w:r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table" w:customStyle="1" w:styleId="TableGrid">
    <w:name w:val="TableGrid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</w:style>
  <w:style w:type="table" w:customStyle="1" w:styleId="Siatkatabelijasna1">
    <w:name w:val="Siatka tabeli — jasna1"/>
    <w:basedOn w:val="Standardowy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rFonts w:ascii="Courier New" w:eastAsia="Times New Roman" w:hAnsi="Courier New" w:cs="Times New Roman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Courier New" w:eastAsia="Times New Roman" w:hAnsi="Courier New" w:cs="Times New Roman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Calibri" w:hAnsi="Verdana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120" w:after="120"/>
      <w:outlineLvl w:val="0"/>
    </w:pPr>
    <w:rPr>
      <w:rFonts w:eastAsia="Times New Roman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spacing w:before="120" w:after="120"/>
      <w:outlineLvl w:val="1"/>
    </w:pPr>
    <w:rPr>
      <w:rFonts w:eastAsia="Times New Roman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eastAsia="Times New Roman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link w:val="Tekstkomentarza"/>
    <w:uiPriority w:val="99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Pr>
      <w:rFonts w:eastAsia="Times New Roman"/>
      <w:b/>
      <w:bCs/>
      <w:kern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pPr>
      <w:tabs>
        <w:tab w:val="left" w:pos="426"/>
        <w:tab w:val="right" w:leader="dot" w:pos="9072"/>
      </w:tabs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pPr>
      <w:spacing w:after="100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pPr>
      <w:spacing w:after="100"/>
      <w:ind w:left="440"/>
    </w:pPr>
    <w:rPr>
      <w:rFonts w:eastAsia="Times New Roman"/>
    </w:rPr>
  </w:style>
  <w:style w:type="character" w:customStyle="1" w:styleId="Nagwek2Znak">
    <w:name w:val="Nagłówek 2 Znak"/>
    <w:link w:val="Nagwek2"/>
    <w:uiPriority w:val="9"/>
    <w:rPr>
      <w:rFonts w:eastAsia="Times New Roman"/>
      <w:b/>
      <w:bCs/>
      <w:iCs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Verdana" w:eastAsia="Times New Roman" w:hAnsi="Verdana" w:cs="Times New Roman"/>
      <w:b/>
      <w:bCs/>
      <w:szCs w:val="26"/>
      <w:lang w:eastAsia="en-US"/>
    </w:r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table" w:customStyle="1" w:styleId="TableGrid">
    <w:name w:val="TableGrid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</w:style>
  <w:style w:type="table" w:customStyle="1" w:styleId="Siatkatabelijasna1">
    <w:name w:val="Siatka tabeli — jasna1"/>
    <w:basedOn w:val="Standardowy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rFonts w:ascii="Courier New" w:eastAsia="Times New Roman" w:hAnsi="Courier New" w:cs="Times New Roman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Courier New" w:eastAsia="Times New Roman" w:hAnsi="Courier New" w:cs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2272E-BEAD-45C8-942F-C8E14563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7917</CharactersWithSpaces>
  <SharedDoc>false</SharedDoc>
  <HLinks>
    <vt:vector size="96" baseType="variant"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_Toc408484186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_Toc408484185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_Toc408484184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_Toc408484183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_Toc408484182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_Toc408484181</vt:lpwstr>
      </vt:variant>
      <vt:variant>
        <vt:i4>2031669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_Toc408484180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_Toc408484179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_Toc408484178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_Toc408484177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_Toc408484176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_Toc408484175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_Toc408484174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_Toc408484173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_Toc408484172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_Toc408484171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Bukowski Leszek</dc:creator>
  <cp:lastModifiedBy>user</cp:lastModifiedBy>
  <cp:revision>7</cp:revision>
  <cp:lastPrinted>2017-08-01T10:12:00Z</cp:lastPrinted>
  <dcterms:created xsi:type="dcterms:W3CDTF">2018-10-16T08:28:00Z</dcterms:created>
  <dcterms:modified xsi:type="dcterms:W3CDTF">2020-01-03T09:46:00Z</dcterms:modified>
</cp:coreProperties>
</file>