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638" w:rsidRDefault="00CD11CB">
      <w:pPr>
        <w:jc w:val="center"/>
      </w:pPr>
      <w:r>
        <w:rPr>
          <w:rFonts w:ascii="Times New Roman" w:hAnsi="Times New Roman"/>
          <w:b/>
          <w:sz w:val="28"/>
          <w:szCs w:val="28"/>
        </w:rPr>
        <w:t>Załą</w:t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cznik nr A</w:t>
      </w:r>
      <w:r>
        <w:rPr>
          <w:rFonts w:ascii="Times New Roman" w:hAnsi="Times New Roman"/>
          <w:b/>
          <w:sz w:val="28"/>
          <w:szCs w:val="28"/>
        </w:rPr>
        <w:t xml:space="preserve"> -  Szczegółowy opis przedmiotu Zamówienia</w:t>
      </w:r>
    </w:p>
    <w:p w:rsidR="003F1638" w:rsidRDefault="00CD11CB">
      <w:pPr>
        <w:jc w:val="center"/>
      </w:pPr>
      <w:r>
        <w:rPr>
          <w:rFonts w:ascii="Times New Roman" w:hAnsi="Times New Roman"/>
          <w:b/>
          <w:sz w:val="28"/>
          <w:szCs w:val="28"/>
        </w:rPr>
        <w:t>serwer obliczeniowy typu „</w:t>
      </w:r>
      <w:proofErr w:type="spellStart"/>
      <w:r>
        <w:rPr>
          <w:rFonts w:ascii="Times New Roman" w:hAnsi="Times New Roman"/>
          <w:b/>
          <w:sz w:val="28"/>
          <w:szCs w:val="28"/>
        </w:rPr>
        <w:t>rack</w:t>
      </w:r>
      <w:proofErr w:type="spellEnd"/>
      <w:r>
        <w:rPr>
          <w:rFonts w:ascii="Times New Roman" w:hAnsi="Times New Roman"/>
          <w:b/>
          <w:sz w:val="28"/>
          <w:szCs w:val="28"/>
        </w:rPr>
        <w:t>”  z akceleratorem GPU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Lista: 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serwer (jednostka </w:t>
      </w:r>
      <w:proofErr w:type="spellStart"/>
      <w:r>
        <w:rPr>
          <w:rFonts w:ascii="Times New Roman" w:hAnsi="Times New Roman"/>
        </w:rPr>
        <w:t>obliceniowa</w:t>
      </w:r>
      <w:proofErr w:type="spellEnd"/>
      <w:r>
        <w:rPr>
          <w:rFonts w:ascii="Times New Roman" w:hAnsi="Times New Roman"/>
        </w:rPr>
        <w:t>) – nie objęty podatkiem VAT,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>- zasilacz awaryjny – objęty podatkiem VAT,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- dodatkowy moduł bateryjny do </w:t>
      </w:r>
      <w:r>
        <w:rPr>
          <w:rFonts w:ascii="Times New Roman" w:hAnsi="Times New Roman"/>
        </w:rPr>
        <w:t>zasilacza awaryjnego – objęty podatkiem VAT,</w:t>
      </w:r>
    </w:p>
    <w:p w:rsidR="003F1638" w:rsidRDefault="00CD11CB">
      <w:pPr>
        <w:rPr>
          <w:rFonts w:ascii="Times New Roman" w:hAnsi="Times New Roman"/>
        </w:rPr>
      </w:pPr>
      <w:r>
        <w:rPr>
          <w:rFonts w:ascii="Times New Roman" w:hAnsi="Times New Roman"/>
        </w:rPr>
        <w:t>- akcesori</w:t>
      </w:r>
      <w:bookmarkStart w:id="1" w:name="__DdeLink__1489_1950690129"/>
      <w:r>
        <w:rPr>
          <w:rFonts w:ascii="Times New Roman" w:hAnsi="Times New Roman"/>
        </w:rPr>
        <w:t>a</w:t>
      </w:r>
      <w:bookmarkEnd w:id="1"/>
      <w:r>
        <w:rPr>
          <w:rFonts w:ascii="Times New Roman" w:hAnsi="Times New Roman"/>
        </w:rPr>
        <w:t xml:space="preserve"> dodatkowe do obsługi serwera: monitor, klawiatura, mysz – objęte podatkiem VAT.</w:t>
      </w:r>
    </w:p>
    <w:p w:rsidR="003F1638" w:rsidRDefault="003F1638">
      <w:pPr>
        <w:rPr>
          <w:rFonts w:ascii="Times New Roman" w:hAnsi="Times New Roman"/>
        </w:rPr>
      </w:pPr>
    </w:p>
    <w:p w:rsidR="003F1638" w:rsidRDefault="00CD11CB">
      <w:pPr>
        <w:rPr>
          <w:b/>
        </w:rPr>
      </w:pPr>
      <w:r>
        <w:rPr>
          <w:rFonts w:ascii="Times New Roman" w:hAnsi="Times New Roman"/>
          <w:b/>
        </w:rPr>
        <w:t>Serwer (jednostka obliczeniowa) – 1 szt.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Cecha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Obudowa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1. do zabudowy w szafie serwerowej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19”, plus wszystkie elementy niezbędne do mocowania i wysuwania do celów serwisowych razem z ramieniem do zarzadzania kablami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2. maksymalna wysokość - 3U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3. mieszcząca co najmniej 24 dyski 2.5" hot-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swap</w:t>
            </w:r>
            <w:proofErr w:type="spellEnd"/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4. wszystkie wyspecyfikowane elementy serwera muszą 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>być w niej zamontowane, o ile nie określono inaczej,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5. wyprodukowana przez producenta płyty głównej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6. musi istnieć możliwość wyposażenia obudowy w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oryginalną maskownicę producenta serwera chroniącą dyski (front obudowy) </w:t>
            </w:r>
          </w:p>
          <w:p w:rsidR="003F1638" w:rsidRDefault="00CD11CB">
            <w:pPr>
              <w:spacing w:after="0" w:line="240" w:lineRule="auto"/>
              <w:rPr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 musi istnieć możliwość wyposaż</w:t>
            </w:r>
            <w:r>
              <w:rPr>
                <w:rFonts w:ascii="Times New Roman" w:hAnsi="Times New Roman"/>
                <w:sz w:val="20"/>
                <w:szCs w:val="20"/>
              </w:rPr>
              <w:t>enia obudowy w czujnik otwarcia obudowy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Zasilacz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1. co najmniej 2 szt., nadmiarowe (redundantne)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2. 230V 50Hz, każdy o mocy co najmniej 1600W klasy „Platinum”, o sprawności 94% 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3. hot-plug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Chłodzenie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Nadmiarowe wentylatory typu hot-plug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Płyta</w:t>
            </w: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 xml:space="preserve"> główna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z chipsetem dedykowanym przez producenta procesora do pracy w serwerach co najmniej dwuprocesorowych, wspierająca zastosowanie procesorów od 4 do 28 rdzeniowych, mocy do min. 205W i taktowaniu CPU do min. 3.6GHz,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posiadająca co najmniej 4 int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erfejsy LAN 1Gb RJ45 z funkcją Wake-On-LAN, wsparciem dla PXE, nie zajmujące slotów PCI-e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 posiadająca zintegrowaną kartę graficzną z wyjściem VGA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4. posiadająca dodatkowy dedykowany interfejs 1GbE RJ45 do zarządzania i monitoringu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posiadająca co naj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mniej 3 porty USB 3.0, w tym co najmniej 1 wewnątrz obudowy, nie jest dopuszczalne uzyskanie wymaganej ilości portów poprzez zastosowanie przejściówek lub adapterów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posiadająca co najmniej jeden port SATA 3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posiadająca co najmniej 24 gniazda DIMM, po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zwalające na zainstalowanie co najmniej 3TB pamięci RAM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pozwalająca na zainstalowanie co najmniej 2 fizycznych procesorów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Procesor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Zainstalowane minimum dwa procesory minimum dwunastordzeniowe z rodziny x86 - 64 bity, o znamionowej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lastRenderedPageBreak/>
              <w:t xml:space="preserve">częstotliwości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nie mniejszej niż 2,3GHz, osiągające w testach SPECint_rate_base2006  wynik nie gorszy niż 1210 punktów. W przypadku zaoferowania procesora równoważnego, wynik testu musi być publikowany na stronie </w:t>
            </w:r>
            <w:hyperlink r:id="rId8">
              <w:r>
                <w:rPr>
                  <w:rStyle w:val="ListLabel10"/>
                  <w:rFonts w:ascii="Times New Roman" w:hAnsi="Times New Roman"/>
                </w:rPr>
                <w:t>www.spec.org</w:t>
              </w:r>
            </w:hyperlink>
          </w:p>
          <w:p w:rsidR="003F1638" w:rsidRDefault="00CD11CB">
            <w:pPr>
              <w:spacing w:after="0" w:line="240" w:lineRule="auto"/>
              <w:rPr>
                <w:rFonts w:eastAsia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Zamawiający wymaga złożenia wraz z ofertą wyników w/w testów.</w:t>
            </w:r>
          </w:p>
          <w:p w:rsidR="003F1638" w:rsidRDefault="00CD11CB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Wszystkie gniazda procesorów muszą być obsadzone dla oferowanej platformy serwerowej.</w:t>
            </w:r>
          </w:p>
          <w:p w:rsidR="003F1638" w:rsidRDefault="00CD11CB">
            <w:pPr>
              <w:pStyle w:val="Default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Oferowany serwer musi posiadać obsługę pamięci typu NVDIMM</w:t>
            </w:r>
          </w:p>
          <w:p w:rsidR="003F1638" w:rsidRDefault="003F163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Pamięć RAM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zainstalowane co najmniej 256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GB w pełni buforowanej pamięci DDR4 ECC w modułach co najmniej po 32 GB, o częstotliwości pracy 2666MT/s</w:t>
            </w:r>
          </w:p>
          <w:p w:rsidR="003F1638" w:rsidRDefault="00CD11CB">
            <w:pPr>
              <w:spacing w:after="0" w:line="240" w:lineRule="auto"/>
              <w:rPr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m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ożliwe zabezpieczenia pamięci: ECC, On-line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Spare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, Memory Mirror lub równoważne 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Złącza PCI-E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co najmniej 2 złącza PCI-E 3.0 x8 (szybkość sl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otu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width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pełnej wysokości i pełnej długości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co najmniej 3 złącza PCI-E 3.0 x16 (szybkość slotu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width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pełnej wysokości i pełnej długości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 minimum 3 złącza PCI-E muszą pozostać wolne przy wymaganej konfiguracji serwera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- musi istnieć możli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wość przyszłej rozbudowy o co najmniej jedno złącze PCI-E 3.0 x16 (szybkość slotu –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width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 pełnej wysokości i pełnej długości, bez konieczności wymiany zainstalowanych elementów serwera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Kontroler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dysków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co najmniej 1 szt.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 instalowany w dedyk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owanym złączu lub zintegrowany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3. obsługujący co najmniej 24 dysków SAS/SATA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o przepustowości 12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Gb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/s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 obsługujący RAID 0, 1, 5, 10, 50, 6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5. z co najmniej 2 GB pamięci cache do odczytu i zapisu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 podtrzymanie bateryjne/kondensatorowe dla pamięci cach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e kontrolera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 możliwość dokupienia licencji na szyfrowanie dysków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 możliwość rozbudowy cache kontrolera do minimum 4GB przez wymianę kontrolera lub zmianę pamięci kontrolera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Dodatkowe kontrolery sieciowe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Możliwość rozbudowy o dodatkowe interfejsy sieciowe typu: 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2x 10Gb SFP+, 2x 10Gb Base-T, 4x 10Gb Base-T, 4x 1Gb Base-T,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dedykowanymi modułami bez zajmowania slotów PCI-E lub w postaci kart PCI-E pod warunkiem nieumniejszenia wymaganej ilości slotów PCI-E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Karta/akcelerator GPU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Zaawansowany akcelerator graficzny posiadający minimum 32 GB pamięci ze wsparciem mechanizmu ECC. Wyposażony w co najmniej 5120 rdzenie CUDA i zużywający maksymalnie 250W energii.</w:t>
            </w:r>
          </w:p>
          <w:p w:rsidR="003F1638" w:rsidRDefault="00CD11CB">
            <w:pPr>
              <w:spacing w:after="0" w:line="240" w:lineRule="auto"/>
              <w:rPr>
                <w:rFonts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Wymagana jest możliwość rozbudowy oferowanej konfi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>guracji serwera do minimum 2 kart/akceleratorów spełniających powyżej opisane parametry.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Dyski twarde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1. zainstalowane co najmniej 8 dysków SAS 2,5", hot-plug, o prędkości obrotowej co najmniej 10 000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rpm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i pojemności co najmniej 2,4TB każdy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2. 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>zainst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>alowane co najmniej 3 dyski 2,5” SATA SSD, hot-plug, o pojemności co najmniej 480GB każdy, DWPD min. 3.0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Zdalny interfejs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zarządzający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Niezależna od system operacyjnego, zintegrowana z płytą główną serwera lub jako dodatkowa karta w slocie PCI 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Express, jednak nie może ona powodować zmniejszenia minimalnej liczby gniazd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PCIe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w serwerze, posiadająca minimalną funkcjonalność: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monitorowanie podzespołów serwera: temperatura, zasilacze, wentylatory, procesory, pamięć RAM, </w:t>
            </w:r>
            <w:r>
              <w:rPr>
                <w:rFonts w:ascii="Times New Roman" w:hAnsi="Times New Roman" w:cs="TimesNewRomanPSMT"/>
                <w:szCs w:val="20"/>
              </w:rPr>
              <w:lastRenderedPageBreak/>
              <w:t>kontrolery macierzowe i dyski</w:t>
            </w:r>
            <w:r>
              <w:rPr>
                <w:rFonts w:ascii="Times New Roman" w:hAnsi="Times New Roman" w:cs="TimesNewRomanPSMT"/>
                <w:szCs w:val="20"/>
              </w:rPr>
              <w:t xml:space="preserve">(fizyczne i logiczne), karty sieciowe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wparcie dla agentów zarządzających oraz możliwość pracy w trybie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bezagentowym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– bez agentów zarządzania instalowanych w systemie operacyjnym z generowaniem alertów SNMP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dostęp do karty zarządzającej poprzez dedykowany</w:t>
            </w:r>
            <w:r>
              <w:rPr>
                <w:rFonts w:ascii="Times New Roman" w:hAnsi="Times New Roman" w:cs="TimesNewRomanPSMT"/>
                <w:szCs w:val="20"/>
              </w:rPr>
              <w:t xml:space="preserve"> port RJ45 z tyłu serwera lub przez współdzielony port zintegrowanej karty sieciowej serwera 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dostęp do karty możliwy z poziomu przeglądarki webowej (GUI); z poziomu linii komend;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porzez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interfejs IPMI 2.0 (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Intelligent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Platform Management Interface)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wirtualna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zadalna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konsola, tekstowa i graficzna, z dostępem do myszy i klawiatury i możliwością podłączenia wirtualnych napędów FDD, CD/DVD, USB i  wirtualnych folderów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monitorowanie zasilania oraz zużycia energii przez serwer w czasie rzeczywistym z możl</w:t>
            </w:r>
            <w:r>
              <w:rPr>
                <w:rFonts w:ascii="Times New Roman" w:hAnsi="Times New Roman" w:cs="TimesNewRomanPSMT"/>
                <w:szCs w:val="20"/>
              </w:rPr>
              <w:t>iwością graficznej prezentacji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konfiguracja maksymalnego poziomu pobieranej mocy przez serwer (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capping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) 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zdalna aktualizacja oprogramowania (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firmware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>)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wsparcie dla Microsoft Active Directory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="TimesNewRomanPSMT"/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 xml:space="preserve">wsparcie dla IPv4 oraz iPv6, obsługa SNMP v3 oraz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RESTful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API</w:t>
            </w:r>
          </w:p>
          <w:p w:rsidR="003F1638" w:rsidRDefault="00CD11CB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szCs w:val="20"/>
              </w:rPr>
            </w:pPr>
            <w:r>
              <w:rPr>
                <w:rFonts w:ascii="Times New Roman" w:hAnsi="Times New Roman" w:cs="TimesNewRomanPSMT"/>
                <w:szCs w:val="20"/>
              </w:rPr>
              <w:t>moż</w:t>
            </w:r>
            <w:r>
              <w:rPr>
                <w:rFonts w:ascii="Times New Roman" w:hAnsi="Times New Roman" w:cs="TimesNewRomanPSMT"/>
                <w:szCs w:val="20"/>
              </w:rPr>
              <w:t xml:space="preserve">liwość </w:t>
            </w:r>
            <w:proofErr w:type="spellStart"/>
            <w:r>
              <w:rPr>
                <w:rFonts w:ascii="Times New Roman" w:hAnsi="Times New Roman" w:cs="TimesNewRomanPSMT"/>
                <w:szCs w:val="20"/>
              </w:rPr>
              <w:t>autokonfiguracji</w:t>
            </w:r>
            <w:proofErr w:type="spellEnd"/>
            <w:r>
              <w:rPr>
                <w:rFonts w:ascii="Times New Roman" w:hAnsi="Times New Roman" w:cs="TimesNewRomanPSMT"/>
                <w:szCs w:val="20"/>
              </w:rPr>
              <w:t xml:space="preserve"> sieci karty zarządzającej (DNS/DHCP)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Inne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Dodatkowo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sprzęt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: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1.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musi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być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wspierany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przez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systemy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:  Windows Server 2019, Windows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Serwer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2016, VMware vSphere 6.5 &amp; 6.7, Red Hat Enterprise Linux (RHEL) 6.9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7.3, SUSE Linux </w:t>
            </w:r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Enterprise Server (SLES) 11 SP4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  <w:lang w:val="en-US"/>
              </w:rPr>
              <w:t xml:space="preserve"> 12 SP2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2. oferowany model serwera musi posiadać certyfikację dla systemów Windows Serwer 2019 i 2016 :</w:t>
            </w:r>
          </w:p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- wymagane dołączenie wydruku ze strony </w:t>
            </w:r>
            <w:hyperlink r:id="rId9">
              <w:r>
                <w:rPr>
                  <w:rStyle w:val="InternetLink"/>
                  <w:rFonts w:ascii="Times New Roman" w:hAnsi="Times New Roman" w:cs="TimesNewRomanPSMT"/>
                  <w:sz w:val="20"/>
                  <w:szCs w:val="20"/>
                </w:rPr>
                <w:t>https://www.windowsser</w:t>
              </w:r>
              <w:r>
                <w:rPr>
                  <w:rStyle w:val="InternetLink"/>
                  <w:rFonts w:ascii="Times New Roman" w:hAnsi="Times New Roman" w:cs="TimesNewRomanPSMT"/>
                  <w:sz w:val="20"/>
                  <w:szCs w:val="20"/>
                </w:rPr>
                <w:t>vercatalog.com</w:t>
              </w:r>
            </w:hyperlink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vanish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3.  oferowany model serwera musi posiadać certyfikację dla systemów Red </w:t>
            </w:r>
            <w:proofErr w:type="spellStart"/>
            <w:r>
              <w:rPr>
                <w:rFonts w:ascii="Times New Roman" w:hAnsi="Times New Roman" w:cs="TimesNewRomanPSMT"/>
                <w:sz w:val="20"/>
                <w:szCs w:val="20"/>
              </w:rPr>
              <w:t>Hat</w:t>
            </w:r>
            <w:proofErr w:type="spellEnd"/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Enterprise Linux (RHEL) 6.9 i 7.3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</w:t>
            </w:r>
          </w:p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- wymagane dołączenie wydruku ze strony </w:t>
            </w:r>
            <w:hyperlink r:id="rId10">
              <w:r>
                <w:rPr>
                  <w:rStyle w:val="InternetLink"/>
                  <w:rFonts w:ascii="Times New Roman" w:hAnsi="Times New Roman" w:cs="TimesNewRomanPSMT"/>
                  <w:sz w:val="20"/>
                  <w:szCs w:val="20"/>
                </w:rPr>
                <w:t>https://access.redhat.co</w:t>
              </w:r>
              <w:r>
                <w:rPr>
                  <w:rStyle w:val="InternetLink"/>
                  <w:rFonts w:ascii="Times New Roman" w:hAnsi="Times New Roman" w:cs="TimesNewRomanPSMT"/>
                  <w:sz w:val="20"/>
                  <w:szCs w:val="20"/>
                </w:rPr>
                <w:t>m/ecosystem/hardware</w:t>
              </w:r>
            </w:hyperlink>
            <w:r>
              <w:rPr>
                <w:rFonts w:ascii="Times New Roman" w:hAnsi="Times New Roman" w:cs="TimesNewRomanPSMT"/>
                <w:sz w:val="20"/>
                <w:szCs w:val="20"/>
              </w:rPr>
              <w:t xml:space="preserve"> 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TimesNewRomanPSMT"/>
                <w:sz w:val="20"/>
                <w:szCs w:val="20"/>
              </w:rPr>
              <w:t>2. musi zawierać wszystkie licencje i akcesoria niezbędne do uruchomienia serwera,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TimesNewRomanPS-BoldMT"/>
                <w:bCs/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System operacyjny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 xml:space="preserve">Red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Hat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 Enterprise Linux 7.4 Standard (2 Sockets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or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 2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Guests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) z 3-letnią subskrypcją i </w:t>
            </w:r>
            <w:proofErr w:type="spellStart"/>
            <w:r>
              <w:rPr>
                <w:rFonts w:ascii="Times New Roman" w:hAnsi="Times New Roman" w:cs="Arial"/>
                <w:sz w:val="20"/>
                <w:szCs w:val="20"/>
              </w:rPr>
              <w:t>supportem</w:t>
            </w:r>
            <w:proofErr w:type="spellEnd"/>
            <w:r>
              <w:rPr>
                <w:rFonts w:ascii="Times New Roman" w:hAnsi="Times New Roman" w:cs="Arial"/>
                <w:sz w:val="20"/>
                <w:szCs w:val="20"/>
              </w:rPr>
              <w:t xml:space="preserve"> realizowanym w trybie 9x5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Arial"/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cs="TimesNewRomanPS-BoldMT"/>
                <w:bCs/>
                <w:sz w:val="20"/>
                <w:szCs w:val="20"/>
              </w:rPr>
              <w:t>Gwarancja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3-letnia gwarancja producenta w miejscu instalacji z czasem reakcji w następnym dniu roboczym.</w:t>
            </w:r>
          </w:p>
          <w:p w:rsidR="003F1638" w:rsidRDefault="00CD11CB">
            <w:pPr>
              <w:spacing w:after="0" w:line="240" w:lineRule="auto"/>
              <w:rPr>
                <w:rFonts w:cs="TimesNewRomanPSMT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W okresie gwarancji Zamawiający ma prawo do otrzymywania poprawek oraz aktualizacji oprogramowania dostarczonego wraz z serwerem</w:t>
            </w:r>
            <w:r>
              <w:rPr>
                <w:rFonts w:ascii="Times New Roman" w:hAnsi="Times New Roman" w:cs="TimesNewRomanPSMT"/>
                <w:sz w:val="20"/>
                <w:szCs w:val="20"/>
              </w:rPr>
              <w:t>.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 w:cs="TimesNewRomanPSMT"/>
                <w:sz w:val="20"/>
                <w:szCs w:val="20"/>
              </w:rPr>
            </w:pP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Podzespoły, z który</w:t>
            </w:r>
            <w:r>
              <w:rPr>
                <w:rFonts w:ascii="Times New Roman" w:hAnsi="Times New Roman" w:cs="Arial"/>
                <w:sz w:val="20"/>
                <w:szCs w:val="20"/>
              </w:rPr>
              <w:t xml:space="preserve">ch zbudowany jest serwer muszą być produktami producenta tego serwera lub być przez niego certyfikowane oraz muszą być objęte gwarancją producenta, o wymaganym w specyfikacji poziomie SLA (wymagane oświadczenie producenta serwera potwierdzające spełnienie </w:t>
            </w:r>
            <w:r>
              <w:rPr>
                <w:rFonts w:ascii="Times New Roman" w:hAnsi="Times New Roman" w:cs="Arial"/>
                <w:sz w:val="20"/>
                <w:szCs w:val="20"/>
              </w:rPr>
              <w:t>wymagań dołączone do oferty).</w:t>
            </w: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 xml:space="preserve">Serwer musi być fabrycznie nowy i pochodzić z oficjalnego kanału dystrybucyjnego w Polsce – na wniosek Zamawiającego Dostawca przedstawi oświadczenie producenta serwera, że oferowany do </w:t>
            </w:r>
            <w:r>
              <w:rPr>
                <w:rFonts w:ascii="Times New Roman" w:hAnsi="Times New Roman" w:cs="Arial"/>
                <w:sz w:val="20"/>
                <w:szCs w:val="20"/>
              </w:rPr>
              <w:lastRenderedPageBreak/>
              <w:t>przetargu serwer spełnia ten wymóg.</w:t>
            </w: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Wymagane są dokumenty poświadczające, że sprzęt jest produkowany zgodnie z normami ISO 9001 oraz ISO 14001.</w:t>
            </w:r>
          </w:p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Deklaracja zgodności CE.</w:t>
            </w:r>
          </w:p>
          <w:p w:rsidR="003F1638" w:rsidRDefault="003F16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3F1638" w:rsidRDefault="003F1638">
      <w:pPr>
        <w:rPr>
          <w:rFonts w:ascii="Times New Roman" w:hAnsi="Times New Roman"/>
        </w:rPr>
      </w:pPr>
    </w:p>
    <w:p w:rsidR="003F1638" w:rsidRDefault="003F1638">
      <w:pPr>
        <w:rPr>
          <w:lang w:val="en-US"/>
        </w:rPr>
      </w:pPr>
    </w:p>
    <w:p w:rsidR="003F1638" w:rsidRDefault="00CD11CB">
      <w:pPr>
        <w:rPr>
          <w:rFonts w:ascii="Times New Roman" w:hAnsi="Times New Roman"/>
          <w:b/>
          <w:bCs/>
        </w:rPr>
      </w:pPr>
      <w:proofErr w:type="spellStart"/>
      <w:r>
        <w:rPr>
          <w:rFonts w:ascii="Times New Roman" w:hAnsi="Times New Roman"/>
          <w:b/>
          <w:bCs/>
          <w:lang w:val="en-US"/>
        </w:rPr>
        <w:t>Zasilacz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awaryjny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– 1 </w:t>
      </w:r>
      <w:proofErr w:type="spellStart"/>
      <w:r>
        <w:rPr>
          <w:rFonts w:ascii="Times New Roman" w:hAnsi="Times New Roman"/>
          <w:b/>
          <w:bCs/>
          <w:lang w:val="en-US"/>
        </w:rPr>
        <w:t>szt</w:t>
      </w:r>
      <w:proofErr w:type="spellEnd"/>
      <w:r>
        <w:rPr>
          <w:rFonts w:ascii="Times New Roman" w:hAnsi="Times New Roman"/>
          <w:b/>
          <w:bCs/>
          <w:lang w:val="en-US"/>
        </w:rPr>
        <w:t>.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Cecha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Moc znamionowa (VA)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3000 VA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3F16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Moc czynna (W)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2700 W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Wejściowy współczynnik mocy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&gt; 0,99 przy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THDi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&lt;3%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Konstrukcja obudowy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obudowa typu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tower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rack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2U, konfiguracje wolnostojące i w szafie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Rack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19” z obracalnym wyświetlaczem, na wyposażeniu szyny umożliwiające montaż UPS-a w szafie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rack</w:t>
            </w:r>
            <w:proofErr w:type="spellEnd"/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Częstotliwość wejściowa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50-60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Hz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± 5% (autodetekcja)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Baterie wbudowane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typu Hot-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swap</w:t>
            </w:r>
            <w:proofErr w:type="spellEnd"/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przy obciążeniu 100%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4 minuty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przy obciążeniu 50%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12 minut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przy obciążeniu 30%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minimum 22 minuty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Przeciążalność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125% przez 2 minuty, 150% przez 30 sekund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Stopień ochrony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IP21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Technologia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typ konwencjonalny, jednofazowy o podwójnej konwersji on-line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Bypass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wyposażony w automatyczny bypass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Interfejsy komunikacyjne 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USB, wymagana karta SNMP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Gniazda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6x IEC 10A + 1x IEC 16A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Poziom hałasu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poziom hałasu zmierzony w odległości 1 metra  &lt;50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dBA</w:t>
            </w:r>
            <w:proofErr w:type="spellEnd"/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Normy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spełnia normy: EN 62040-1, 62040-2, 62040-3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Inne wymagania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automatyczna korekta współczynnika mocy </w:t>
            </w:r>
            <w:r>
              <w:rPr>
                <w:rFonts w:ascii="Times New Roman" w:hAnsi="Times New Roman"/>
                <w:sz w:val="20"/>
                <w:szCs w:val="20"/>
              </w:rPr>
              <w:t>obciążenia do wartości  0,99 z podłączonym już na wyjściu obciążeniem równym 20% obciążenia znamionowego;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zasilanie inwertera bez pobierania energii z baterii także w przypadku bardzo niskiego napięcia w sieci (praca z zasilaniem sieciowym dla wartości 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IN   100 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Vac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 przy 50% obciążenia znamionowego),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łącznie odkształcenie harmoniczne napięcia wyjściowego przy obciążeniu znamionowym nie liniowym - dla współczynnika mocy 0,8 oraz THD &lt; 3 %,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dopuszczalny współczynnik szczytowy dla prądu wyjściowego nie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mniejszy niż 3:1,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możliwość wydłużenia czasu podtrzymania poprzez zastosowanie zewnętrznych modułów bateryjnych podłączanych na gorąco (hot-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swap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oprogramowanie do współpracy zasilacza UPS z systemami Windows oraz Linux/Unix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Gwarancja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>
              <w:rPr>
                <w:rFonts w:ascii="Times New Roman" w:hAnsi="Times New Roman" w:cs="Arial"/>
                <w:sz w:val="20"/>
                <w:szCs w:val="20"/>
              </w:rPr>
              <w:t>36 miesięcy</w:t>
            </w:r>
            <w:r>
              <w:rPr>
                <w:rFonts w:ascii="Times New Roman" w:hAnsi="Times New Roman" w:cs="Arial"/>
                <w:sz w:val="20"/>
                <w:szCs w:val="20"/>
              </w:rPr>
              <w:t xml:space="preserve"> na elektronikę, 24 miesiące na baterie</w:t>
            </w:r>
          </w:p>
        </w:tc>
      </w:tr>
    </w:tbl>
    <w:p w:rsidR="003F1638" w:rsidRDefault="003F1638">
      <w:pPr>
        <w:rPr>
          <w:rFonts w:ascii="Times New Roman" w:hAnsi="Times New Roman"/>
        </w:rPr>
      </w:pPr>
    </w:p>
    <w:p w:rsidR="003F1638" w:rsidRDefault="00CD11CB">
      <w:r>
        <w:rPr>
          <w:rFonts w:ascii="Times New Roman" w:hAnsi="Times New Roman"/>
          <w:b/>
          <w:bCs/>
        </w:rPr>
        <w:t>Zewnętrzny moduł bateryjny do zasilacza awaryjnego – 1 szt.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Cecha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kompatybilność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- wyprodukowany przez producenta zamawianego zasilacza awaryjnego</w:t>
            </w:r>
          </w:p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- podłączany na gorąco (hot-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swap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Czas podtrzymania zasilacza wraz z zewnętrznym modułem bateryjnym przy obciążeniu 100%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minimum 19 minut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Czas podtrzymania zasilacza wraz z zewnętrznym modułem bateryjnym przy obciążeniu 50%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minimum 47 minut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Czas podtrzymania zasilacza wraz z </w:t>
            </w:r>
            <w:r>
              <w:rPr>
                <w:rFonts w:ascii="Times New Roman" w:hAnsi="Times New Roman"/>
                <w:sz w:val="20"/>
                <w:szCs w:val="20"/>
              </w:rPr>
              <w:t>zewnętrznym modułem bateryjnym przy obciążeniu 30%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minimum 86 minut</w:t>
            </w:r>
          </w:p>
        </w:tc>
      </w:tr>
    </w:tbl>
    <w:p w:rsidR="003F1638" w:rsidRDefault="003F1638">
      <w:pPr>
        <w:rPr>
          <w:rFonts w:ascii="Times New Roman" w:hAnsi="Times New Roman"/>
          <w:b/>
          <w:bCs/>
        </w:rPr>
      </w:pPr>
    </w:p>
    <w:p w:rsidR="003F1638" w:rsidRDefault="003F1638">
      <w:pPr>
        <w:rPr>
          <w:rFonts w:ascii="Times New Roman" w:hAnsi="Times New Roman"/>
          <w:b/>
          <w:bCs/>
        </w:rPr>
      </w:pPr>
    </w:p>
    <w:p w:rsidR="003F1638" w:rsidRDefault="00CD11CB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Akcesoria dodatkowe: </w:t>
      </w:r>
    </w:p>
    <w:tbl>
      <w:tblPr>
        <w:tblStyle w:val="Tabela-Siatka"/>
        <w:tblW w:w="9062" w:type="dxa"/>
        <w:tblInd w:w="-5" w:type="dxa"/>
        <w:tblLook w:val="04A0" w:firstRow="1" w:lastRow="0" w:firstColumn="1" w:lastColumn="0" w:noHBand="0" w:noVBand="1"/>
      </w:tblPr>
      <w:tblGrid>
        <w:gridCol w:w="839"/>
        <w:gridCol w:w="11"/>
        <w:gridCol w:w="2548"/>
        <w:gridCol w:w="5664"/>
      </w:tblGrid>
      <w:tr w:rsidR="003F1638">
        <w:trPr>
          <w:trHeight w:val="528"/>
        </w:trPr>
        <w:tc>
          <w:tcPr>
            <w:tcW w:w="85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L.p.</w:t>
            </w:r>
          </w:p>
        </w:tc>
        <w:tc>
          <w:tcPr>
            <w:tcW w:w="25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Nazwa</w:t>
            </w:r>
          </w:p>
        </w:tc>
        <w:tc>
          <w:tcPr>
            <w:tcW w:w="56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808080" w:themeFill="background1" w:themeFillShade="80"/>
            <w:vAlign w:val="center"/>
          </w:tcPr>
          <w:p w:rsidR="003F1638" w:rsidRDefault="00CD11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 w:cs="Arial"/>
                <w:b/>
                <w:sz w:val="20"/>
                <w:szCs w:val="20"/>
              </w:rPr>
              <w:t>Wymagania minimalne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Monitor 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przekątna ekranu minimum 23,8 cala,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posiada port VGA.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Kabel VGA</w:t>
            </w:r>
          </w:p>
        </w:tc>
        <w:tc>
          <w:tcPr>
            <w:tcW w:w="5665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musi łączyć monitor z zamawianą jednostką </w:t>
            </w:r>
            <w:r>
              <w:rPr>
                <w:rFonts w:ascii="Times New Roman" w:hAnsi="Times New Roman"/>
                <w:sz w:val="20"/>
                <w:szCs w:val="20"/>
              </w:rPr>
              <w:t>obliczeniową (typ kabla: VGA M – VGA M)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długość minimum 5 m</w:t>
            </w:r>
          </w:p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- 2 ferryty</w:t>
            </w:r>
          </w:p>
        </w:tc>
      </w:tr>
      <w:tr w:rsidR="003F1638">
        <w:tc>
          <w:tcPr>
            <w:tcW w:w="839" w:type="dxa"/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558" w:type="dxa"/>
            <w:gridSpan w:val="2"/>
            <w:shd w:val="clear" w:color="auto" w:fill="auto"/>
          </w:tcPr>
          <w:p w:rsidR="003F1638" w:rsidRDefault="00CD11CB">
            <w:pPr>
              <w:spacing w:after="0" w:line="240" w:lineRule="auto"/>
            </w:pPr>
            <w:r>
              <w:rPr>
                <w:rFonts w:ascii="Times New Roman" w:hAnsi="Times New Roman"/>
                <w:sz w:val="20"/>
                <w:szCs w:val="20"/>
              </w:rPr>
              <w:t>Klawiatura</w:t>
            </w:r>
          </w:p>
        </w:tc>
        <w:tc>
          <w:tcPr>
            <w:tcW w:w="5665" w:type="dxa"/>
            <w:shd w:val="clear" w:color="auto" w:fill="auto"/>
          </w:tcPr>
          <w:p w:rsidR="003F1638" w:rsidRDefault="003F1638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F1638">
        <w:tc>
          <w:tcPr>
            <w:tcW w:w="839" w:type="dxa"/>
            <w:tcBorders>
              <w:top w:val="nil"/>
            </w:tcBorders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2558" w:type="dxa"/>
            <w:gridSpan w:val="2"/>
            <w:tcBorders>
              <w:top w:val="nil"/>
            </w:tcBorders>
            <w:shd w:val="clear" w:color="auto" w:fill="auto"/>
          </w:tcPr>
          <w:p w:rsidR="003F1638" w:rsidRDefault="00CD11C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Mysz</w:t>
            </w:r>
          </w:p>
        </w:tc>
        <w:tc>
          <w:tcPr>
            <w:tcW w:w="5665" w:type="dxa"/>
            <w:tcBorders>
              <w:top w:val="nil"/>
            </w:tcBorders>
            <w:shd w:val="clear" w:color="auto" w:fill="auto"/>
          </w:tcPr>
          <w:p w:rsidR="003F1638" w:rsidRDefault="003F163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3F1638" w:rsidRDefault="003F1638"/>
    <w:sectPr w:rsidR="003F1638">
      <w:headerReference w:type="default" r:id="rId11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1CB" w:rsidRDefault="00CD11CB" w:rsidP="00CD11CB">
      <w:pPr>
        <w:spacing w:after="0" w:line="240" w:lineRule="auto"/>
      </w:pPr>
      <w:r>
        <w:separator/>
      </w:r>
    </w:p>
  </w:endnote>
  <w:endnote w:type="continuationSeparator" w:id="0">
    <w:p w:rsidR="00CD11CB" w:rsidRDefault="00CD11CB" w:rsidP="00CD1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1CB" w:rsidRDefault="00CD11CB" w:rsidP="00CD11CB">
      <w:pPr>
        <w:spacing w:after="0" w:line="240" w:lineRule="auto"/>
      </w:pPr>
      <w:r>
        <w:separator/>
      </w:r>
    </w:p>
  </w:footnote>
  <w:footnote w:type="continuationSeparator" w:id="0">
    <w:p w:rsidR="00CD11CB" w:rsidRDefault="00CD11CB" w:rsidP="00CD11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11CB" w:rsidRPr="00CD11CB" w:rsidRDefault="00CD11CB">
    <w:pPr>
      <w:pStyle w:val="Nagwek"/>
      <w:rPr>
        <w:rFonts w:ascii="Times New Roman" w:hAnsi="Times New Roman" w:cs="Times New Roman"/>
      </w:rPr>
    </w:pPr>
  </w:p>
  <w:p w:rsidR="00CD11CB" w:rsidRPr="00CD11CB" w:rsidRDefault="00CD11CB">
    <w:pPr>
      <w:pStyle w:val="Nagwek"/>
      <w:rPr>
        <w:rFonts w:ascii="Times New Roman" w:hAnsi="Times New Roman" w:cs="Times New Roman"/>
      </w:rPr>
    </w:pPr>
    <w:r w:rsidRPr="00CD11CB">
      <w:rPr>
        <w:rFonts w:ascii="Times New Roman" w:hAnsi="Times New Roman" w:cs="Times New Roman"/>
      </w:rPr>
      <w:t>Oznaczenie sprawy: ZP/5672/D/19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BE5610"/>
    <w:multiLevelType w:val="multilevel"/>
    <w:tmpl w:val="B2D06122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72DF143B"/>
    <w:multiLevelType w:val="multilevel"/>
    <w:tmpl w:val="BC301A5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638"/>
    <w:rsid w:val="003F1638"/>
    <w:rsid w:val="00CD1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paragraph" w:styleId="Nagwek1">
    <w:name w:val="heading 1"/>
    <w:basedOn w:val="Heading"/>
    <w:next w:val="Tekstpodstawowy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50FD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50FD3"/>
    <w:rPr>
      <w:rFonts w:ascii="Calibri" w:eastAsia="Times New Roman" w:hAnsi="Calibri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50FD3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A0D91"/>
  </w:style>
  <w:style w:type="character" w:customStyle="1" w:styleId="StopkaZnak">
    <w:name w:val="Stopka Znak"/>
    <w:basedOn w:val="Domylnaczcionkaakapitu"/>
    <w:link w:val="Stopka"/>
    <w:uiPriority w:val="99"/>
    <w:qFormat/>
    <w:rsid w:val="008A0D91"/>
  </w:style>
  <w:style w:type="character" w:customStyle="1" w:styleId="InternetLink">
    <w:name w:val="Internet Link"/>
    <w:basedOn w:val="Domylnaczcionkaakapitu"/>
    <w:uiPriority w:val="99"/>
    <w:unhideWhenUsed/>
    <w:rsid w:val="005677BF"/>
    <w:rPr>
      <w:color w:val="0000FF" w:themeColor="hyperlink"/>
      <w:u w:val="singl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14740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ListLabel1">
    <w:name w:val="ListLabel 1"/>
    <w:qFormat/>
    <w:rPr>
      <w:rFonts w:eastAsia="Calibri" w:cs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eastAsia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11">
    <w:name w:val="ListLabel 11"/>
    <w:qFormat/>
    <w:rPr>
      <w:rFonts w:cs="TimesNewRomanPSMT"/>
      <w:sz w:val="20"/>
      <w:szCs w:val="20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ascii="Times New Roman" w:eastAsia="Times New Roman" w:hAnsi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22">
    <w:name w:val="ListLabel 22"/>
    <w:qFormat/>
    <w:rPr>
      <w:rFonts w:ascii="Times New Roman" w:hAnsi="Times New Roman" w:cs="TimesNewRomanPSMT"/>
      <w:sz w:val="20"/>
      <w:szCs w:val="20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50FD3"/>
    <w:pPr>
      <w:ind w:left="720"/>
      <w:contextualSpacing/>
    </w:pPr>
    <w:rPr>
      <w:rFonts w:ascii="Calibri" w:eastAsia="Times New Roman" w:hAnsi="Calibri" w:cs="Times New Roman"/>
      <w:sz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50FD3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50F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38172B"/>
    <w:rPr>
      <w:rFonts w:ascii="Calibri" w:eastAsia="Calibri" w:hAnsi="Calibri" w:cs="Calibri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14740"/>
    <w:rPr>
      <w:rFonts w:asciiTheme="minorHAnsi" w:eastAsiaTheme="minorHAnsi" w:hAnsiTheme="minorHAnsi" w:cstheme="minorBidi"/>
      <w:b/>
      <w:bCs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A50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</w:rPr>
  </w:style>
  <w:style w:type="paragraph" w:styleId="Nagwek1">
    <w:name w:val="heading 1"/>
    <w:basedOn w:val="Heading"/>
    <w:next w:val="Tekstpodstawowy"/>
    <w:qFormat/>
    <w:pPr>
      <w:numPr>
        <w:numId w:val="1"/>
      </w:num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50FD3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50FD3"/>
    <w:rPr>
      <w:rFonts w:ascii="Calibri" w:eastAsia="Times New Roman" w:hAnsi="Calibri" w:cs="Times New Roman"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50FD3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A0D91"/>
  </w:style>
  <w:style w:type="character" w:customStyle="1" w:styleId="StopkaZnak">
    <w:name w:val="Stopka Znak"/>
    <w:basedOn w:val="Domylnaczcionkaakapitu"/>
    <w:link w:val="Stopka"/>
    <w:uiPriority w:val="99"/>
    <w:qFormat/>
    <w:rsid w:val="008A0D91"/>
  </w:style>
  <w:style w:type="character" w:customStyle="1" w:styleId="InternetLink">
    <w:name w:val="Internet Link"/>
    <w:basedOn w:val="Domylnaczcionkaakapitu"/>
    <w:uiPriority w:val="99"/>
    <w:unhideWhenUsed/>
    <w:rsid w:val="005677BF"/>
    <w:rPr>
      <w:color w:val="0000FF" w:themeColor="hyperlink"/>
      <w:u w:val="single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914740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ListLabel1">
    <w:name w:val="ListLabel 1"/>
    <w:qFormat/>
    <w:rPr>
      <w:rFonts w:eastAsia="Calibri" w:cs="Calibri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Calibri" w:cs="Calibri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eastAsia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11">
    <w:name w:val="ListLabel 11"/>
    <w:qFormat/>
    <w:rPr>
      <w:rFonts w:cs="TimesNewRomanPSMT"/>
      <w:sz w:val="20"/>
      <w:szCs w:val="20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Wingdings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Wingdings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Wingdings"/>
    </w:rPr>
  </w:style>
  <w:style w:type="character" w:customStyle="1" w:styleId="ListLabel21">
    <w:name w:val="ListLabel 21"/>
    <w:qFormat/>
    <w:rPr>
      <w:rFonts w:ascii="Times New Roman" w:eastAsia="Times New Roman" w:hAnsi="Times New Roman" w:cs="Times New Roman"/>
      <w:color w:val="0000FF"/>
      <w:sz w:val="20"/>
      <w:szCs w:val="20"/>
      <w:u w:val="single"/>
      <w:lang w:eastAsia="pl-PL"/>
    </w:rPr>
  </w:style>
  <w:style w:type="character" w:customStyle="1" w:styleId="ListLabel22">
    <w:name w:val="ListLabel 22"/>
    <w:qFormat/>
    <w:rPr>
      <w:rFonts w:ascii="Times New Roman" w:hAnsi="Times New Roman" w:cs="TimesNewRomanPSMT"/>
      <w:sz w:val="20"/>
      <w:szCs w:val="20"/>
    </w:rPr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A50FD3"/>
    <w:pPr>
      <w:ind w:left="720"/>
      <w:contextualSpacing/>
    </w:pPr>
    <w:rPr>
      <w:rFonts w:ascii="Calibri" w:eastAsia="Times New Roman" w:hAnsi="Calibri" w:cs="Times New Roman"/>
      <w:sz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50FD3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50FD3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8A0D91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38172B"/>
    <w:rPr>
      <w:rFonts w:ascii="Calibri" w:eastAsia="Calibri" w:hAnsi="Calibri" w:cs="Calibri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914740"/>
    <w:rPr>
      <w:rFonts w:asciiTheme="minorHAnsi" w:eastAsiaTheme="minorHAnsi" w:hAnsiTheme="minorHAnsi" w:cstheme="minorBidi"/>
      <w:b/>
      <w:bCs/>
    </w:rPr>
  </w:style>
  <w:style w:type="paragraph" w:customStyle="1" w:styleId="TableContents">
    <w:name w:val="Table Contents"/>
    <w:basedOn w:val="Normalny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ela-Siatka">
    <w:name w:val="Table Grid"/>
    <w:basedOn w:val="Standardowy"/>
    <w:uiPriority w:val="39"/>
    <w:rsid w:val="00A50F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ec.org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access.redhat.com/ecosystem/hardwar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indowsservercatalo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1574</Words>
  <Characters>9444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Aleksandra Korcz</cp:lastModifiedBy>
  <cp:revision>17</cp:revision>
  <cp:lastPrinted>2019-11-08T08:48:00Z</cp:lastPrinted>
  <dcterms:created xsi:type="dcterms:W3CDTF">2019-09-06T10:29:00Z</dcterms:created>
  <dcterms:modified xsi:type="dcterms:W3CDTF">2019-11-08T08:55:00Z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