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0C6" w:rsidRDefault="004110C6" w:rsidP="004110C6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13/06/2019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S112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 xml:space="preserve">- - Roboty budowlane - Ogłoszenie o zamówieniu - Procedura otwarta  </w:t>
      </w:r>
    </w:p>
    <w:p w:rsidR="004110C6" w:rsidRDefault="004110C6" w:rsidP="004110C6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110C6" w:rsidRDefault="004110C6" w:rsidP="004110C6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110C6" w:rsidRDefault="004110C6" w:rsidP="004110C6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4110C6" w:rsidRDefault="004110C6" w:rsidP="004110C6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4110C6" w:rsidRDefault="004110C6" w:rsidP="004110C6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110C6" w:rsidRDefault="004110C6" w:rsidP="004110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w zakresie obiektów budowlanych związanych ze szkolnictwem wyższym</w:t>
      </w:r>
    </w:p>
    <w:p w:rsidR="004110C6" w:rsidRDefault="004110C6" w:rsidP="004110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112-274155</w:t>
      </w:r>
    </w:p>
    <w:p w:rsidR="004110C6" w:rsidRDefault="004110C6" w:rsidP="004110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4110C6" w:rsidRDefault="004110C6" w:rsidP="004110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 Basis: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4110C6" w:rsidRDefault="004110C6" w:rsidP="004110C6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I: Instytucja zamawiająca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 i adresy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2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Informacja o zamówieniu wspólnym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Komunikacja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www.dzp.agh.edu.pl</w:t>
        </w:r>
      </w:hyperlink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instytucji zamawiającej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Główny przedmiot działalności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4110C6" w:rsidRDefault="004110C6" w:rsidP="004110C6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II: Przedmiot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lastRenderedPageBreak/>
        <w:t>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Wielkość lub zakres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Budowa budynku dla Wydziału Fizyki i Informatyki Stosowanej AGH w Krakowie. KC-zp.272-400/19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KC-zp.272-400/19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Główny kod CPV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45214400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Krótki opis: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budynku dla Wydziału Fizyki i Informatyki Stosowanej AGH w Krakowie.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Teren inwestycji obejmuje fragmenty działek nr 699/18 i 700/1 obr. 4 Krowodrza – dla lokalizacji budynku Wydziału Fizyki i Informatyki Stosowanej wraz z drogą pożarową oraz fragmenty działek nr 685/3, 685/4, 699/8, 699/9, 699/11, 699/14, 699/15,699/18 obr. 4 Krowodrza dla lokalizacji projektowanej przebudowy sieci ciepłowniczej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Wszystkie działki położone są na terenie Kampusu AGH przy ul. Reymonta w Krakowie. Budynek został zaprojektowany się w miejscu przeznaczonego do wyburzenia istniejącego budynku D-7 dwukondygnacyjnego, wybudowanego w latach 70-tych w systemie „Zębiec”.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obejmuje również przebudowę istniejącego uzbrojenia terenu oraz układu drogowego.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całkowita wartość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częściach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Dane techniczne nowego budynku: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użytkowa: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Piwnice 1 075,17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Parter 832,25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Piętro 690,11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Piętro 688,87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Piętro 686,72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Razem 3 973,12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Komunikacja 254,37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całkowita 5 808,27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zabudowy 1 329,56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Kubatura 1 126,80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Wysokość ok. 18 m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Zakres zamówienia obejmuje: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Rozbiórkę: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budynku D-7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rozbiórkę wiaty śmietnika, rozbiórkę chodników i dróg w częściach kolidujących z projektowanym zagospodarowaniem terenu;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c) rozbiórkę istniejących schodów i pochylni od strony wschodniej, wiodących do budynku D-10.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Budowę nowego budynku Wydziału Fizyki i Informatyki Stosowanej AGH wraz z obiektami dodatkowymi (przewiązka, mury oporowe, schody zewnętrzne, rampy i pomosty dla osób niepełnosprawnych itd.).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Przebudowę istniejącego budynku D-10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Przebudowę układu drogowego i chodników wokół budynku, wykonanie elementów małej architektury z zielenią parkową.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Wykonanie zasilania i przebudowa uzbrojenia energetycznego.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Wykonanie kanalizacji teletechnicznej oraz przyłącza teletechnicznego do budynku.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Przebudowa kolizyjnego przyłącza cieplnego dla inwestycji.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8. Wykonanie zewnętrznej instalacji kanalizacji sanitarnej i deszczowej oraz ogólnospławnej.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9. Wykonanie zewnętrznego podłączenia instalacji wody.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wymaga zatrudnienia przez Wykonawcę lub Podwykonawcę na podstawie umowy o pracę, w sposób określony w art. 22 § 1 ustawy z dnia 26.6.1974 r. – Kodeks pracy (Dz.U. z 2018 r. poz. 917), osób wykonujących czynności polegające na wykonaniu: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ziemnych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wyburzeniowych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demontażowych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brukarskich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prac ogrodniczych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murarskich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tynkarskich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żelbetowych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ślusarki wewnętrznej i zewnętrznej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wykończeniowych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ociepleniowych i elewacyjnych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układaniu kabli elektrycznych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sanitarnych; wentylacji, klimatyzacji wraz z urządzeniami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wod.-kan. wraz z urządzeniami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c.o. wraz z urządzeniami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instalacji, osprzętu i urządzeń elektrycznych w tym dźwigowych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Objętych przedmiotem zamówienia. Wyżej określony wymóg dotyczy również podwykonawców wykonujących wskazane powyżej prace.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wykazać, że przedmiot zamówienia zostanie wykonany przez: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co najmniej 2 osoby posiadające aktualne świadectwo kwalifikacyjne uprawniające do zajmowania się eksploatacją urządzeń na stanowisku Dozoru (D);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co najmniej 2 osoby posiadające aktualne świadectwo kwalifikacyjne uprawniające do zajmowania się eksploatacją urządzeń na stanowisku Eksploatacji (E)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udzielić pełnej gwarancji na roboty objęte zakresem zamówienia na okres nie krótszy niż 3 lata (36 miesięcy) z wyjątkiem: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dachu i elewacji, gdzie okres gwarancji nie może być krótszy niż 10 lat (120 miesięcy),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okien i drzwi zewnętrznych, gdzie okres gwarancji nie może być krótszy niż 5 lat (60 miesięcy),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instalacji sieci strukturalnych (logicznych), gdzie okres gwarancji systemowej udzielony przez producenta nie może być krótszy niż 25 lat (Zamawiający wymaga certyfikatu w języku polskim producenta okablowania udzielonego bezpośrednio końcowemu użytkownikowi i stanowiącego min. 25-letnie zobowiązanie gwarancyjne dotrzymania parametrów jakościowych i materiałowych).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19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40 %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Wszystkie Kody i nazwy zamówienia według Wspólnego Słownika Zamówień wskazano w SIWZ</w:t>
      </w:r>
    </w:p>
    <w:p w:rsidR="004110C6" w:rsidRDefault="004110C6" w:rsidP="004110C6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III: Informacje o charakterze prawnym, ekonomicznym, finansowym i technicznym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udziału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warunków: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którzy: nie podlegają wykluczeniu na podstawie art. 24 ust. 1 pkt 12-23 oraz art. 24 ust. 5 pkt 1 i 8 ustawy Pzp.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A/ Informacja z Krajowego Rejestru Karnego, w zakresie określonym w art. 24 ust. 1 pkt 13, 14 i 21 ustawy Pzp, wystawionej nie wcześniej niż przed terminem 6 miesięcy przed upływem terminu składania ofert;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E/ Oświadczenie wykonawcy o braku wydania wobec niego prawomocnego wyroku sądu lub ostatecznej decyzji administracyjnej o zaleganiu z uiszczaniem podatków, opłat lub składek na ubezpieczenia społeczne lub zdrowotne albo -w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F/Oświadczenie wykonawcy o braku orzeczenia wobec niego tytułem środka zapobiegawczego zakazu ubiegania się o zamówienia publiczne;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G/ Oświadczenie wykonawcy o niezaleganiu z opłacaniem podatków i opłat lokalnych, o których mowa w ustawie z dnia 12.1.1991 r. o podatkach i opłatach lokalnych (Dz.U. z 2016 r. poz. 716);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H/ wykazu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I/ wykazu osób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polega na zdolnościach lub sytuacji innych podmiotów na zasadach określonych w art. 22 ustawy Pzp, Zamawiający żąda przedstawienia w odniesieniu do tych podmiotów dokumentów wymienionych w ust. 7.4. pkt 1) ÷ 7) SIWZ.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A-D) składa odpowiednio dokumenty wskazane w pkt 7.5.1 SIWZ.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Sytuacja ekonomiczna i finansowa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Zdolność techniczna i kwalifikacje zawodowe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 okresie ostatnich 5 lat przed dniem upływu składania ofert, a jeżeli okres prowadzenia działalności jest krótszy - w tym okresie, wykonał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co najmniej 2 (dwie) realizacje, przy czym każda z nich polegała na budowie* co najmniej średniowysokiego** budynku użyteczności publicznej***, każda na kwotę co najmniej 15 000 000,00 PLN (piętnaście milionów złotych).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wykonawców, którzy wykonywali realizacje za wynagrodzeniem wyrażonym w innych walutach niż złoty polski, zamawiający przeliczy wartość tych realizacji po średnim kursie NBP z dnia ukazania się ogłoszenia o zamówieniu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dysponuje lub będzie dysponował osobą która będzie pełnić funkcję kierownika budowy, posiadającą uprawnienia do kierowania robotami budowlanymi w specjalności konstrukcyjno-budowlanej bez ograniczeń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dysponuje lub będzie dysponował osobą, która będzie pełnić funkcję kierownika robót, posiadającą uprawnienia budowlane do kierowania robotami budowlanymi bez ograniczeń, w specjalności instalacyjnej w zakresie: sieci, instalacji i urządzeń cieplnych, wentylacyjnych, wodociągowych i kanalizacyjnych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d) dysponuje lub będzie dysponował osobą, która będzie pełnić funkcję kierownika robót, posiadającą uprawnienia budowlane do kierowania robotami budowlanymi bez ograniczeń, w specjalności instalacyjnej w zakresie sieci, instalacji i urządzeń elektrycznych i elektroenergetycznych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dysponuje lub będzie dysponował osobą, która będzie pełnić funkcję kierownika robót, posiadającą uprawnienia budowlane do kierowania robotami budowlanymi bez ograniczeń, w specjalności instalacyjnej w zakresie sieci, instalacji i urządzeń telekomunikacyjnych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 może w celu potwierdzenia spełniania warunków udziału w postępowaniu, o których mowa w pkt 5.1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13–22 i ust. 5 pkt 1 i 8 ustawy Pzp,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 odniesieniu do warunków dotyczących wykształcenia, kwalifikacji zawodowych lub doświadczenia, wykonawcy mogą polegać na zdolnościach innych podmiotów, jeśli podmioty te zrealizują roboty budowlane, do realizacji których te zdolności są wymagane,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 zobowiązania lub innych dokumentów potwierdzających udostępnienie zasobów przez inne podmioty musi bezspornie i jednoznacznie wynikać w szczególności: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dostępnych wykonawcy zasobów innego podmiotu;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sposób wykorzystania zasobów innego podmiotu, przez wykonawcę, przy wykonywaniu zamówienia;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 okres udziału innego podmiotu przy wykonywaniu zamówienia publicznego;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czy podmiot, na zdolnościach którego wykonawca polega w odniesieniu do warunków udziału w postępowaniu dotyczących wykształcenia, kwalifikacji zawodowych lub doświadczenia, zrealizuje roboty budowlane, których wskazane zdolności dotyczą,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Wykonawcy mogą wspólnie ubiegać się o udzielenie zamówienia. W takim przypadku wykonawcy ustanawiają pełnomocnika do reprezentowania ich w postępowaniu o udzielenie zamówienia albo reprezentowania w postępowaniu i zawarcia umowy w sprawie zamówienia publicznego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zamówieniach zastrzeżonych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dotyczące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realizacji umowy: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pracowników odpowiedzialnych za wykonanie zamówienia</w:t>
      </w:r>
    </w:p>
    <w:p w:rsidR="004110C6" w:rsidRDefault="004110C6" w:rsidP="004110C6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IV: Procedura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procedury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umowy ramowej lub dynamicznego systemu zakupów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Zmniejszenie liczby rozwiązań lub ofert podczas negocjacji lub dialogu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aukcji elektronicznej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lastRenderedPageBreak/>
        <w:t>IV.1.8)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Porozumienia w sprawie zamówień rządowych (GPA)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administracyjne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Poprzednia publikacja dotycząca przedmiotowego postępowania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Termin składania ofert lub wniosków o dopuszczenie do udziału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17/07/2019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data wysłania zaproszeń do składania ofert lub do udziału wybranym kandydatom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Języki, w których można sporządzać oferty lub wnioski o dopuszczenie do udziału: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Minimalny okres, w którym oferent będzie związany ofertą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otwarcia ofert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17/07/2019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Miejsce: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4110C6" w:rsidRDefault="004110C6" w:rsidP="004110C6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VI: Informacje uzupełniające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powtarzającym się charakterze zamówienia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procesów elektronicznych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1/ Oferta musi być zabezpieczona wadium w wysokości: 600 000,00 PLN (słownie: sześćset tysięcy zł 00/100)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 (nie dopuszcza się wpłaty gotówką):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3/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zamówienia.W przypadku wspólnego ubiegania się o zamówienie przez wykonawców oświadczenie o przynależności lub braku przynależności do tej samej grupy kapitałowej składa każdy z wykonawców.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JEDZ, sporządza się, pod rygorem nieważności, w postaci elektronicznej i opatruje się kwalifikowanym podpisem elektronicznym.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6/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7/ Wykonawca, którego oferta uznana jest za najkorzystniejszą, przed podpisaniem umowy zobowiązany jest wnieść zabezpieczenie należytego wykonania umowy.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8/ Wykonawca na własny koszt, w okresie realizacji Umowy ubezpieczy i zapewni ciągłość linii ubezpieczenia wskazanych w SIWZ.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9/ Wybrany w drodze postępowania przetargowego Wykonawca winien przed podpisaniem umowy przedłożyć Zamawiającemu: uprawnienia wymienione w pkt 5.1.3) SIWZ, oświadczenia wskazane w pkt 15.7 SIWZ, plan BIOZ, kosztorys, szczegółowy harmonogram rzeczowo-finansowy prac oraz dostaw materiałów i urządzeń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Procedury odwoławcze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Organ odpowiedzialny za procedury odwoławcze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Organ odpowiedzialny za procedury mediacyjne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Składanie odwołań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odwołań: 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Środki ochrony prawnej przysługują Wykonawcom i uczestnikom konkursu, a także innym podmiotom, jeżeli mają lub mieli interes w uzyskaniu danego zamówienia oraz ponieśli lub mogą ponieść szkodę w wyniku naruszenia przez zamawiającego przepisów ustawy. Środki ochrony prawnej wobec ogłoszenia o zamówieniu oraz Specyfikacji Istotnych Warunków Zamówienia przysługują również organizacjom wpisanym na listę prowadzoną przez Prezesa Urzędu Zamówień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Publicznych. Sposób korzystania oraz rozpatrywania środków ochrony prawnej regulują przepisy ustawy Prawo zamówień publicznych Dział VI, art. 179 - art. 198g ustawy Pzp.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Źródło, gdzie można uzyskać informacje na temat składania odwołań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Data wysłania niniejszego ogłoszenia:</w:t>
      </w:r>
    </w:p>
    <w:p w:rsidR="004110C6" w:rsidRDefault="004110C6" w:rsidP="004110C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11/06/2019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AF" w:rsidRDefault="00AA01AF">
      <w:r>
        <w:separator/>
      </w:r>
    </w:p>
  </w:endnote>
  <w:endnote w:type="continuationSeparator" w:id="0">
    <w:p w:rsidR="00AA01AF" w:rsidRDefault="00AA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7D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7D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5E" w:rsidRDefault="009411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AF" w:rsidRDefault="00AA01AF">
      <w:r>
        <w:separator/>
      </w:r>
    </w:p>
  </w:footnote>
  <w:footnote w:type="continuationSeparator" w:id="0">
    <w:p w:rsidR="00AA01AF" w:rsidRDefault="00AA0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5E" w:rsidRDefault="009411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5E" w:rsidRDefault="009411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C377498"/>
    <w:multiLevelType w:val="multilevel"/>
    <w:tmpl w:val="82DA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1A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110C6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4115E"/>
    <w:rsid w:val="0095289F"/>
    <w:rsid w:val="009E25D7"/>
    <w:rsid w:val="009F201D"/>
    <w:rsid w:val="00A776D8"/>
    <w:rsid w:val="00AA01AF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7D3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4110C6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customStyle="1" w:styleId="tigrseq1">
    <w:name w:val="tigrseq1"/>
    <w:basedOn w:val="Normalny"/>
    <w:rsid w:val="004110C6"/>
    <w:pPr>
      <w:spacing w:after="150"/>
    </w:pPr>
    <w:rPr>
      <w:b/>
      <w:bCs/>
      <w:u w:val="single"/>
    </w:rPr>
  </w:style>
  <w:style w:type="character" w:customStyle="1" w:styleId="date">
    <w:name w:val="date"/>
    <w:rsid w:val="004110C6"/>
  </w:style>
  <w:style w:type="character" w:customStyle="1" w:styleId="oj">
    <w:name w:val="oj"/>
    <w:rsid w:val="004110C6"/>
  </w:style>
  <w:style w:type="character" w:customStyle="1" w:styleId="heading">
    <w:name w:val="heading"/>
    <w:rsid w:val="004110C6"/>
  </w:style>
  <w:style w:type="character" w:customStyle="1" w:styleId="nomark5">
    <w:name w:val="nomark5"/>
    <w:rsid w:val="004110C6"/>
    <w:rPr>
      <w:vanish w:val="0"/>
      <w:webHidden w:val="0"/>
      <w:specVanish w:val="0"/>
    </w:rPr>
  </w:style>
  <w:style w:type="character" w:customStyle="1" w:styleId="timark5">
    <w:name w:val="timark5"/>
    <w:rsid w:val="004110C6"/>
    <w:rPr>
      <w:b/>
      <w:bCs/>
      <w:vanish w:val="0"/>
      <w:webHidden w:val="0"/>
      <w:specVanish w:val="0"/>
    </w:rPr>
  </w:style>
  <w:style w:type="character" w:customStyle="1" w:styleId="nutscode">
    <w:name w:val="nutscode"/>
    <w:rsid w:val="004110C6"/>
  </w:style>
  <w:style w:type="character" w:customStyle="1" w:styleId="cpvcode3">
    <w:name w:val="cpvcode3"/>
    <w:rsid w:val="004110C6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4952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45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25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06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2668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3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96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939822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46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783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663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508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700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14940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7246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373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536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778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986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292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8714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1984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0474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330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956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649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271981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9658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46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48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150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3248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174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152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314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2009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1128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0159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0140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209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7341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8852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5314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979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914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954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816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9380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277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468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063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910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9667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077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099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0315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0209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916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068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3889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458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953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98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922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550078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21092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441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243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68149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8355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139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918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20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877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3634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832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980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852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057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507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631067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374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85559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459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073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027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154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92958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48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075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794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273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544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5297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491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117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97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34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147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0694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716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806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12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836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83110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544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416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045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786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971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719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331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1131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033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8425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916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6969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612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947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881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817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651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7040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74155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274155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274155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274155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274155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2762</Words>
  <Characters>19653</Characters>
  <Application>Microsoft Office Word</Application>
  <DocSecurity>0</DocSecurity>
  <Lines>163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4</cp:revision>
  <cp:lastPrinted>2019-06-13T08:21:00Z</cp:lastPrinted>
  <dcterms:created xsi:type="dcterms:W3CDTF">2019-06-13T08:21:00Z</dcterms:created>
  <dcterms:modified xsi:type="dcterms:W3CDTF">2019-06-13T08:22:00Z</dcterms:modified>
</cp:coreProperties>
</file>