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1F" w:rsidRDefault="00067D1F"/>
    <w:p w:rsidR="00D83F42" w:rsidRDefault="00D83F42" w:rsidP="00D83F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cenowy</w:t>
      </w:r>
    </w:p>
    <w:p w:rsidR="0060713A" w:rsidRDefault="0060713A" w:rsidP="006071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Pakiet nr 1</w:t>
      </w:r>
      <w:r w:rsidR="00D83F42">
        <w:rPr>
          <w:rFonts w:ascii="Times New Roman" w:hAnsi="Times New Roman"/>
          <w:b/>
        </w:rPr>
        <w:t xml:space="preserve"> </w:t>
      </w:r>
    </w:p>
    <w:p w:rsidR="00D83F42" w:rsidRDefault="00D83F42" w:rsidP="00D83F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Odczynniki do oznaczeń biochemicznych i immunochemicznych wraz z dzierżawą analizatora do Pracowni Badań </w:t>
      </w:r>
      <w:r w:rsidR="002D6D96">
        <w:rPr>
          <w:rFonts w:ascii="Times New Roman" w:hAnsi="Times New Roman"/>
          <w:b/>
        </w:rPr>
        <w:t>Pilnych</w:t>
      </w:r>
    </w:p>
    <w:p w:rsidR="00D83F42" w:rsidRDefault="00D83F42" w:rsidP="00D83F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2D6D96">
        <w:rPr>
          <w:rFonts w:ascii="Times New Roman" w:hAnsi="Times New Roman"/>
        </w:rPr>
        <w:t>wydzierżawi urządzenie oraz dostarczy zestawy odczynnikowe wraz z materiałami kalibracyjnymi oraz wszystkimi dodatkowymi akcesoriami niezbędnymi do wykonania następującej liczby badań:</w:t>
      </w:r>
      <w:r>
        <w:rPr>
          <w:rFonts w:ascii="Times New Roman" w:hAnsi="Times New Roman"/>
        </w:rPr>
        <w:t>.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AlAT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21</w:t>
      </w:r>
      <w:r w:rsidR="00D83F42">
        <w:rPr>
          <w:rFonts w:ascii="Times New Roman" w:hAnsi="Times New Roman"/>
          <w:bCs/>
        </w:rPr>
        <w:t>000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Albumina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18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Alkohol etylowy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20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Amoniak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4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Amylaza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10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Anty HCV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10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Anty HIV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6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AspAT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21</w:t>
      </w:r>
      <w:r w:rsidR="00D83F42">
        <w:rPr>
          <w:rFonts w:ascii="Times New Roman" w:hAnsi="Times New Roman"/>
          <w:bCs/>
        </w:rPr>
        <w:t>000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betaHCG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13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Białko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7</w:t>
      </w:r>
      <w:r w:rsidR="00D83F42">
        <w:rPr>
          <w:rFonts w:ascii="Times New Roman" w:hAnsi="Times New Roman"/>
          <w:bCs/>
        </w:rPr>
        <w:t>00</w:t>
      </w:r>
    </w:p>
    <w:p w:rsidR="00D83F42" w:rsidRDefault="00D83F42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Białko w PMR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D6D96">
        <w:rPr>
          <w:rFonts w:ascii="Times New Roman" w:hAnsi="Times New Roman"/>
          <w:bCs/>
        </w:rPr>
        <w:tab/>
        <w:t>12</w:t>
      </w:r>
      <w:r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Białko w moczu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26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Bilirubina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18</w:t>
      </w:r>
      <w:r w:rsidR="00D83F42">
        <w:rPr>
          <w:rFonts w:ascii="Times New Roman" w:hAnsi="Times New Roman"/>
          <w:bCs/>
        </w:rPr>
        <w:t>000</w:t>
      </w:r>
      <w:r w:rsidR="00D83F42">
        <w:rPr>
          <w:rFonts w:ascii="Times New Roman" w:hAnsi="Times New Roman"/>
          <w:bCs/>
        </w:rPr>
        <w:tab/>
      </w:r>
    </w:p>
    <w:p w:rsidR="00D83F42" w:rsidRDefault="00D83F42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Bilirubin</w:t>
      </w:r>
      <w:r w:rsidR="002D6D96">
        <w:rPr>
          <w:rFonts w:ascii="Times New Roman" w:hAnsi="Times New Roman"/>
          <w:bCs/>
        </w:rPr>
        <w:t>a związana</w:t>
      </w:r>
      <w:r w:rsidR="002D6D96">
        <w:rPr>
          <w:rFonts w:ascii="Times New Roman" w:hAnsi="Times New Roman"/>
          <w:bCs/>
        </w:rPr>
        <w:tab/>
      </w:r>
      <w:r w:rsidR="002D6D96">
        <w:rPr>
          <w:rFonts w:ascii="Times New Roman" w:hAnsi="Times New Roman"/>
          <w:bCs/>
        </w:rPr>
        <w:tab/>
      </w:r>
      <w:r w:rsidR="002D6D96">
        <w:rPr>
          <w:rFonts w:ascii="Times New Roman" w:hAnsi="Times New Roman"/>
          <w:bCs/>
        </w:rPr>
        <w:tab/>
        <w:t>7</w:t>
      </w:r>
      <w:r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Ca całkowity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80</w:t>
      </w:r>
      <w:r w:rsidR="00D83F42">
        <w:rPr>
          <w:rFonts w:ascii="Times New Roman" w:hAnsi="Times New Roman"/>
          <w:bCs/>
        </w:rPr>
        <w:t>00</w:t>
      </w:r>
    </w:p>
    <w:p w:rsidR="00D83F42" w:rsidRDefault="00D83F42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Chlorki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D6D96">
        <w:rPr>
          <w:rFonts w:ascii="Times New Roman" w:hAnsi="Times New Roman"/>
          <w:bCs/>
        </w:rPr>
        <w:tab/>
        <w:t>12</w:t>
      </w:r>
      <w:r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Cholesterol całkowity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20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Cholesterol w HDL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15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Cholesterol w LDL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15</w:t>
      </w:r>
      <w:r w:rsidR="00D83F42">
        <w:rPr>
          <w:rFonts w:ascii="Times New Roman" w:hAnsi="Times New Roman"/>
          <w:bCs/>
        </w:rPr>
        <w:t>00</w:t>
      </w:r>
    </w:p>
    <w:p w:rsidR="00D83F42" w:rsidRDefault="00D83F42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CK aktywność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D6D96">
        <w:rPr>
          <w:rFonts w:ascii="Times New Roman" w:hAnsi="Times New Roman"/>
          <w:bCs/>
        </w:rPr>
        <w:tab/>
        <w:t>15</w:t>
      </w:r>
      <w:r>
        <w:rPr>
          <w:rFonts w:ascii="Times New Roman" w:hAnsi="Times New Roman"/>
          <w:bCs/>
        </w:rPr>
        <w:t>00</w:t>
      </w:r>
    </w:p>
    <w:p w:rsidR="00D83F42" w:rsidRPr="008E6702" w:rsidRDefault="002D6D96" w:rsidP="00D83F42">
      <w:pPr>
        <w:spacing w:before="100" w:beforeAutospacing="1"/>
        <w:rPr>
          <w:rFonts w:ascii="Times New Roman" w:hAnsi="Times New Roman"/>
          <w:bCs/>
          <w:lang w:val="en-US"/>
        </w:rPr>
      </w:pPr>
      <w:r w:rsidRPr="008E6702">
        <w:rPr>
          <w:rFonts w:ascii="Times New Roman" w:hAnsi="Times New Roman"/>
          <w:bCs/>
          <w:lang w:val="en-US"/>
        </w:rPr>
        <w:t>CRP</w:t>
      </w:r>
      <w:r w:rsidRPr="008E6702">
        <w:rPr>
          <w:rFonts w:ascii="Times New Roman" w:hAnsi="Times New Roman"/>
          <w:bCs/>
          <w:lang w:val="en-US"/>
        </w:rPr>
        <w:tab/>
      </w:r>
      <w:r w:rsidRPr="008E6702">
        <w:rPr>
          <w:rFonts w:ascii="Times New Roman" w:hAnsi="Times New Roman"/>
          <w:bCs/>
          <w:lang w:val="en-US"/>
        </w:rPr>
        <w:tab/>
      </w:r>
      <w:r w:rsidRPr="008E6702">
        <w:rPr>
          <w:rFonts w:ascii="Times New Roman" w:hAnsi="Times New Roman"/>
          <w:bCs/>
          <w:lang w:val="en-US"/>
        </w:rPr>
        <w:tab/>
      </w:r>
      <w:r w:rsidRPr="008E6702">
        <w:rPr>
          <w:rFonts w:ascii="Times New Roman" w:hAnsi="Times New Roman"/>
          <w:bCs/>
          <w:lang w:val="en-US"/>
        </w:rPr>
        <w:tab/>
      </w:r>
      <w:r w:rsidRPr="008E6702">
        <w:rPr>
          <w:rFonts w:ascii="Times New Roman" w:hAnsi="Times New Roman"/>
          <w:bCs/>
          <w:lang w:val="en-US"/>
        </w:rPr>
        <w:tab/>
        <w:t>53</w:t>
      </w:r>
      <w:r w:rsidR="00D83F42" w:rsidRPr="008E6702">
        <w:rPr>
          <w:rFonts w:ascii="Times New Roman" w:hAnsi="Times New Roman"/>
          <w:bCs/>
          <w:lang w:val="en-US"/>
        </w:rPr>
        <w:t>000</w:t>
      </w:r>
    </w:p>
    <w:p w:rsidR="00D83F42" w:rsidRPr="008E6702" w:rsidRDefault="002D6D96" w:rsidP="00D83F42">
      <w:pPr>
        <w:spacing w:before="100" w:beforeAutospacing="1"/>
        <w:rPr>
          <w:rFonts w:ascii="Times New Roman" w:hAnsi="Times New Roman"/>
          <w:bCs/>
          <w:lang w:val="en-US"/>
        </w:rPr>
      </w:pPr>
      <w:r w:rsidRPr="008E6702">
        <w:rPr>
          <w:rFonts w:ascii="Times New Roman" w:hAnsi="Times New Roman"/>
          <w:bCs/>
          <w:lang w:val="en-US"/>
        </w:rPr>
        <w:t>D-dimer</w:t>
      </w:r>
      <w:r w:rsidRPr="008E6702">
        <w:rPr>
          <w:rFonts w:ascii="Times New Roman" w:hAnsi="Times New Roman"/>
          <w:bCs/>
          <w:lang w:val="en-US"/>
        </w:rPr>
        <w:tab/>
      </w:r>
      <w:r w:rsidRPr="008E6702">
        <w:rPr>
          <w:rFonts w:ascii="Times New Roman" w:hAnsi="Times New Roman"/>
          <w:bCs/>
          <w:lang w:val="en-US"/>
        </w:rPr>
        <w:tab/>
      </w:r>
      <w:r w:rsidRPr="008E6702">
        <w:rPr>
          <w:rFonts w:ascii="Times New Roman" w:hAnsi="Times New Roman"/>
          <w:bCs/>
          <w:lang w:val="en-US"/>
        </w:rPr>
        <w:tab/>
      </w:r>
      <w:r w:rsidRPr="008E6702">
        <w:rPr>
          <w:rFonts w:ascii="Times New Roman" w:hAnsi="Times New Roman"/>
          <w:bCs/>
          <w:lang w:val="en-US"/>
        </w:rPr>
        <w:tab/>
        <w:t>6</w:t>
      </w:r>
      <w:r w:rsidR="00D83F42" w:rsidRPr="008E6702">
        <w:rPr>
          <w:rFonts w:ascii="Times New Roman" w:hAnsi="Times New Roman"/>
          <w:bCs/>
          <w:lang w:val="en-US"/>
        </w:rPr>
        <w:t>00</w:t>
      </w:r>
    </w:p>
    <w:p w:rsidR="00D83F42" w:rsidRPr="008E6702" w:rsidRDefault="002D6D96" w:rsidP="00D83F42">
      <w:pPr>
        <w:spacing w:before="100" w:beforeAutospacing="1"/>
        <w:rPr>
          <w:rFonts w:ascii="Times New Roman" w:hAnsi="Times New Roman"/>
          <w:bCs/>
          <w:lang w:val="en-US"/>
        </w:rPr>
      </w:pPr>
      <w:proofErr w:type="spellStart"/>
      <w:r w:rsidRPr="008E6702">
        <w:rPr>
          <w:rFonts w:ascii="Times New Roman" w:hAnsi="Times New Roman"/>
          <w:bCs/>
          <w:lang w:val="en-US"/>
        </w:rPr>
        <w:t>Digoksyna</w:t>
      </w:r>
      <w:proofErr w:type="spellEnd"/>
      <w:r w:rsidRPr="008E6702">
        <w:rPr>
          <w:rFonts w:ascii="Times New Roman" w:hAnsi="Times New Roman"/>
          <w:bCs/>
          <w:lang w:val="en-US"/>
        </w:rPr>
        <w:tab/>
      </w:r>
      <w:r w:rsidRPr="008E6702">
        <w:rPr>
          <w:rFonts w:ascii="Times New Roman" w:hAnsi="Times New Roman"/>
          <w:bCs/>
          <w:lang w:val="en-US"/>
        </w:rPr>
        <w:tab/>
      </w:r>
      <w:r w:rsidRPr="008E6702">
        <w:rPr>
          <w:rFonts w:ascii="Times New Roman" w:hAnsi="Times New Roman"/>
          <w:bCs/>
          <w:lang w:val="en-US"/>
        </w:rPr>
        <w:tab/>
      </w:r>
      <w:r w:rsidRPr="008E6702">
        <w:rPr>
          <w:rFonts w:ascii="Times New Roman" w:hAnsi="Times New Roman"/>
          <w:bCs/>
          <w:lang w:val="en-US"/>
        </w:rPr>
        <w:tab/>
        <w:t>13</w:t>
      </w:r>
      <w:r w:rsidR="00D83F42" w:rsidRPr="008E6702">
        <w:rPr>
          <w:rFonts w:ascii="Times New Roman" w:hAnsi="Times New Roman"/>
          <w:bCs/>
          <w:lang w:val="en-US"/>
        </w:rPr>
        <w:t>00</w:t>
      </w:r>
    </w:p>
    <w:p w:rsidR="00D83F42" w:rsidRPr="008E6702" w:rsidRDefault="002D6D96" w:rsidP="00D83F42">
      <w:pPr>
        <w:pStyle w:val="Nagwek1"/>
        <w:spacing w:before="100" w:beforeAutospacing="1"/>
        <w:rPr>
          <w:b w:val="0"/>
          <w:szCs w:val="22"/>
          <w:lang w:val="en-US"/>
        </w:rPr>
      </w:pPr>
      <w:r w:rsidRPr="008E6702">
        <w:rPr>
          <w:b w:val="0"/>
          <w:szCs w:val="22"/>
          <w:lang w:val="en-US"/>
        </w:rPr>
        <w:t>Fe</w:t>
      </w:r>
      <w:r w:rsidRPr="008E6702">
        <w:rPr>
          <w:b w:val="0"/>
          <w:szCs w:val="22"/>
          <w:lang w:val="en-US"/>
        </w:rPr>
        <w:tab/>
      </w:r>
      <w:r w:rsidRPr="008E6702">
        <w:rPr>
          <w:b w:val="0"/>
          <w:szCs w:val="22"/>
          <w:lang w:val="en-US"/>
        </w:rPr>
        <w:tab/>
      </w:r>
      <w:r w:rsidRPr="008E6702">
        <w:rPr>
          <w:b w:val="0"/>
          <w:szCs w:val="22"/>
          <w:lang w:val="en-US"/>
        </w:rPr>
        <w:tab/>
      </w:r>
      <w:r w:rsidRPr="008E6702">
        <w:rPr>
          <w:b w:val="0"/>
          <w:szCs w:val="22"/>
          <w:lang w:val="en-US"/>
        </w:rPr>
        <w:tab/>
      </w:r>
      <w:r w:rsidRPr="008E6702">
        <w:rPr>
          <w:b w:val="0"/>
          <w:szCs w:val="22"/>
          <w:lang w:val="en-US"/>
        </w:rPr>
        <w:tab/>
        <w:t>9</w:t>
      </w:r>
      <w:r w:rsidR="00D83F42" w:rsidRPr="008E6702">
        <w:rPr>
          <w:b w:val="0"/>
          <w:szCs w:val="22"/>
          <w:lang w:val="en-US"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Fosfataza alkaliczna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9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Fosforany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17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GGTP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9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Glukoza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50</w:t>
      </w:r>
      <w:r w:rsidR="00D83F42">
        <w:rPr>
          <w:rFonts w:ascii="Times New Roman" w:hAnsi="Times New Roman"/>
          <w:bCs/>
        </w:rPr>
        <w:t>000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Hemoglobina </w:t>
      </w:r>
      <w:proofErr w:type="spellStart"/>
      <w:r>
        <w:rPr>
          <w:rFonts w:ascii="Times New Roman" w:hAnsi="Times New Roman"/>
          <w:bCs/>
        </w:rPr>
        <w:t>glikowana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4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HBs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4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65</w:t>
      </w:r>
      <w:r w:rsidR="00D83F42">
        <w:rPr>
          <w:rFonts w:ascii="Times New Roman" w:hAnsi="Times New Roman"/>
          <w:bCs/>
        </w:rPr>
        <w:t>000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Kreatynina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56</w:t>
      </w:r>
      <w:r w:rsidR="00D83F42">
        <w:rPr>
          <w:rFonts w:ascii="Times New Roman" w:hAnsi="Times New Roman"/>
          <w:bCs/>
        </w:rPr>
        <w:t>000</w:t>
      </w:r>
    </w:p>
    <w:p w:rsidR="00D83F42" w:rsidRDefault="00D83F42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Kwas moczowy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D6D96">
        <w:rPr>
          <w:rFonts w:ascii="Times New Roman" w:hAnsi="Times New Roman"/>
          <w:bCs/>
        </w:rPr>
        <w:tab/>
        <w:t>10</w:t>
      </w:r>
      <w:r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LDH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15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pStyle w:val="Nagwek1"/>
        <w:spacing w:before="100" w:beforeAutospacing="1"/>
        <w:rPr>
          <w:b w:val="0"/>
          <w:szCs w:val="22"/>
        </w:rPr>
      </w:pPr>
      <w:r>
        <w:rPr>
          <w:b w:val="0"/>
          <w:szCs w:val="22"/>
        </w:rPr>
        <w:t>Mg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15</w:t>
      </w:r>
      <w:r w:rsidR="00D83F42">
        <w:rPr>
          <w:b w:val="0"/>
          <w:szCs w:val="22"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Mocznik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50</w:t>
      </w:r>
      <w:r w:rsidR="00D83F42">
        <w:rPr>
          <w:rFonts w:ascii="Times New Roman" w:hAnsi="Times New Roman"/>
          <w:bCs/>
        </w:rPr>
        <w:t>000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65</w:t>
      </w:r>
      <w:r w:rsidR="00D83F42">
        <w:rPr>
          <w:rFonts w:ascii="Times New Roman" w:hAnsi="Times New Roman"/>
          <w:bCs/>
        </w:rPr>
        <w:t>000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NT-</w:t>
      </w:r>
      <w:proofErr w:type="spellStart"/>
      <w:r>
        <w:rPr>
          <w:rFonts w:ascii="Times New Roman" w:hAnsi="Times New Roman"/>
          <w:bCs/>
        </w:rPr>
        <w:t>proBNP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4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Triglicerydy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20</w:t>
      </w:r>
      <w:r w:rsidR="00D83F42">
        <w:rPr>
          <w:rFonts w:ascii="Times New Roman" w:hAnsi="Times New Roman"/>
          <w:bCs/>
        </w:rPr>
        <w:t>00</w:t>
      </w:r>
    </w:p>
    <w:p w:rsidR="00D83F42" w:rsidRDefault="002D6D96" w:rsidP="00D83F42">
      <w:pPr>
        <w:spacing w:before="100" w:before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TSH (co najmniej 3 gen)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7</w:t>
      </w:r>
      <w:r w:rsidR="00D83F42">
        <w:rPr>
          <w:rFonts w:ascii="Times New Roman" w:hAnsi="Times New Roman"/>
          <w:bCs/>
        </w:rPr>
        <w:t>00</w:t>
      </w:r>
    </w:p>
    <w:p w:rsidR="00D83F42" w:rsidRDefault="00D83F42" w:rsidP="00D83F42">
      <w:pPr>
        <w:spacing w:before="100" w:beforeAutospacing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</w:rPr>
        <w:t>Troponina</w:t>
      </w:r>
      <w:proofErr w:type="spellEnd"/>
      <w:r>
        <w:rPr>
          <w:rFonts w:ascii="Times New Roman" w:hAnsi="Times New Roman"/>
          <w:bCs/>
        </w:rPr>
        <w:t xml:space="preserve"> I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D6D96">
        <w:rPr>
          <w:rFonts w:ascii="Times New Roman" w:hAnsi="Times New Roman"/>
          <w:bCs/>
        </w:rPr>
        <w:tab/>
        <w:t>47</w:t>
      </w:r>
      <w:r>
        <w:rPr>
          <w:rFonts w:ascii="Times New Roman" w:hAnsi="Times New Roman"/>
          <w:bCs/>
        </w:rPr>
        <w:t>000</w:t>
      </w:r>
      <w:r w:rsidR="002D6D96">
        <w:rPr>
          <w:rFonts w:ascii="Times New Roman" w:hAnsi="Times New Roman"/>
          <w:bCs/>
        </w:rPr>
        <w:t xml:space="preserve"> (w tym sercowa </w:t>
      </w:r>
      <w:proofErr w:type="spellStart"/>
      <w:r w:rsidR="002D6D96">
        <w:rPr>
          <w:rFonts w:ascii="Times New Roman" w:hAnsi="Times New Roman"/>
          <w:bCs/>
        </w:rPr>
        <w:t>troponina</w:t>
      </w:r>
      <w:proofErr w:type="spellEnd"/>
      <w:r w:rsidR="002D6D96">
        <w:rPr>
          <w:rFonts w:ascii="Times New Roman" w:hAnsi="Times New Roman"/>
          <w:bCs/>
        </w:rPr>
        <w:t xml:space="preserve"> I oznaczona metodą ultraczułą – 42000)</w:t>
      </w:r>
    </w:p>
    <w:p w:rsidR="00D83F42" w:rsidRPr="002D6D96" w:rsidRDefault="002D6D96" w:rsidP="002D6D96">
      <w:pPr>
        <w:spacing w:before="100" w:beforeAutospacing="1"/>
        <w:rPr>
          <w:rFonts w:ascii="Times New Roman" w:hAnsi="Times New Roman"/>
          <w:bCs/>
          <w:sz w:val="24"/>
          <w:szCs w:val="28"/>
        </w:rPr>
      </w:pPr>
      <w:r w:rsidRPr="002D6D96">
        <w:rPr>
          <w:rFonts w:ascii="Times New Roman" w:hAnsi="Times New Roman"/>
          <w:bCs/>
          <w:sz w:val="24"/>
          <w:szCs w:val="28"/>
        </w:rPr>
        <w:t>Wykonawca zaproponuje materiały do kontroli wewnątrzlaboratoryjnej w ilości zapewniającej przeprowadzenie badań kontrolnych dla 15% powyższych analiz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D83F42" w:rsidRDefault="00D83F42" w:rsidP="00115449">
      <w:pPr>
        <w:spacing w:before="100" w:beforeAutospacing="1"/>
        <w:rPr>
          <w:rFonts w:ascii="Times New Roman" w:hAnsi="Times New Roman"/>
          <w:b/>
          <w:bCs/>
          <w:sz w:val="28"/>
          <w:szCs w:val="28"/>
        </w:rPr>
      </w:pPr>
    </w:p>
    <w:p w:rsidR="00D83F42" w:rsidRDefault="00D83F42" w:rsidP="00D83F42">
      <w:pPr>
        <w:rPr>
          <w:rFonts w:ascii="Times New Roman" w:hAnsi="Times New Roman"/>
        </w:rPr>
      </w:pPr>
    </w:p>
    <w:tbl>
      <w:tblPr>
        <w:tblW w:w="137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1"/>
        <w:gridCol w:w="992"/>
        <w:gridCol w:w="851"/>
        <w:gridCol w:w="852"/>
        <w:gridCol w:w="1275"/>
        <w:gridCol w:w="1275"/>
        <w:gridCol w:w="1986"/>
        <w:gridCol w:w="2552"/>
      </w:tblGrid>
      <w:tr w:rsidR="00D83F42" w:rsidTr="00D83F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F42" w:rsidRDefault="00D8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badań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opak.</w:t>
            </w:r>
          </w:p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opak.</w:t>
            </w:r>
          </w:p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podatku</w:t>
            </w:r>
          </w:p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katalogowy/</w:t>
            </w:r>
          </w:p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producent</w:t>
            </w:r>
          </w:p>
        </w:tc>
      </w:tr>
      <w:tr w:rsidR="00D83F42" w:rsidTr="00D83F42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F42" w:rsidTr="00D83F42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42" w:rsidTr="00D83F42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42" w:rsidTr="00D83F42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42" w:rsidTr="00D83F42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42" w:rsidTr="00D83F42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Wartość </w:t>
            </w:r>
            <w:r w:rsidR="00115449">
              <w:rPr>
                <w:rFonts w:ascii="Times New Roman" w:hAnsi="Times New Roman"/>
                <w:bCs/>
                <w:sz w:val="24"/>
                <w:szCs w:val="24"/>
              </w:rPr>
              <w:t>dzierżawy za 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42" w:rsidTr="00D83F42">
        <w:trPr>
          <w:trHeight w:val="270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42" w:rsidRDefault="00D8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RAZEM: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F42" w:rsidRDefault="00D83F42" w:rsidP="00D83F42">
      <w:pPr>
        <w:rPr>
          <w:rFonts w:ascii="Times New Roman" w:hAnsi="Times New Roman"/>
          <w:i/>
          <w:sz w:val="24"/>
          <w:szCs w:val="24"/>
        </w:rPr>
      </w:pPr>
    </w:p>
    <w:p w:rsidR="00D83F42" w:rsidRDefault="00115449" w:rsidP="0011544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Wymagane graniczne dla analizatora</w:t>
      </w:r>
    </w:p>
    <w:p w:rsidR="00D83F42" w:rsidRDefault="00D83F42" w:rsidP="00D83F42">
      <w:pPr>
        <w:rPr>
          <w:rFonts w:ascii="Times New Roman" w:hAnsi="Times New Roman"/>
          <w:i/>
          <w:sz w:val="24"/>
          <w:szCs w:val="24"/>
        </w:rPr>
      </w:pPr>
    </w:p>
    <w:tbl>
      <w:tblPr>
        <w:tblW w:w="138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6802"/>
        <w:gridCol w:w="3259"/>
        <w:gridCol w:w="2976"/>
      </w:tblGrid>
      <w:tr w:rsidR="00D83F42" w:rsidTr="00D83F42">
        <w:trPr>
          <w:trHeight w:val="9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wymagane-  warunek graniczny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Potwierdzenie spełnienia warunku granicznego</w:t>
            </w:r>
          </w:p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TAK, NIE )</w:t>
            </w:r>
          </w:p>
        </w:tc>
      </w:tr>
      <w:tr w:rsidR="00D83F42" w:rsidTr="00D83F42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rok produkcji analizatora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 (należy podać rok produkcji i nazwę analizatorów)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jednoczesnego oznaczania na jednej platformie aparaturowej parametrów wymienionych nad tabelami</w:t>
            </w:r>
          </w:p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analizator automatyczny, typu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random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– swobodnego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dostępu, z możliwością wykonywania analiz pilnych bez przerywania bieżącej pracy analizatora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wydajność min. 500 oznaczeń na godzinę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gotowość do pracy przez całą dobę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możliwości ciągłego doładowywania próbek, odczynników i materiałów zużywalnych bez przerywania pracy analizatora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kuwety pomiarowe oraz końcówki do pobierania materiału i odczynników - jednorazowego użytku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konieczności podłączenia do stacji wodnej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systemu informującego o możliwościach interferencji analitycznych (hemoliza, lipemia, hiperbilirubinemia)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udokumentowany brak interferencji bilirubiny w stężeniach do 20 mg/dl na jakość oznaczania kreatyniny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udokumentowany brak interferencji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triglicerydów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stężeniach do 700 mg/dl na jakość oznaczania bilirubiny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podtrzymywanie pracy analizatora w przypadku zaniku zasilania z sieci elektrycznej przez co najmniej 30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identyfikacja odczynników przy użyciu kodów paskowych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identyfikacji próbek przy użyciu kodów paskowych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dwustronne połączenie z firmowym centrum monitorowania poprzez modem serwisowy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115449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11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Bezpłatna instalacja analizatora wraz z niezbędnymi przyłączami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115449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11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Bezpłatne szkolenie personelu w zakresie obsługi i bieżącej konserwacji aparatu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115449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11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Zapewnienie nieodpłatnego udziału w międzynarodowej kontroli jakości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LabQuality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Instrukcja obsługi w j. polskim (na etapie zawarcia umowy)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F42" w:rsidTr="00D83F4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 dostarczy dodatkowo:</w:t>
            </w:r>
          </w:p>
          <w:p w:rsidR="00D83F42" w:rsidRDefault="00D83F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Komputer przenośny typu laptop o minimalnych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parametrach: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    </w:t>
            </w:r>
            <w:r>
              <w:rPr>
                <w:rFonts w:ascii="Times New Roman" w:hAnsi="Times New Roman"/>
              </w:rPr>
              <w:t>- Gwarancja - 24 miesiące 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   - </w:t>
            </w:r>
            <w:r>
              <w:rPr>
                <w:rFonts w:ascii="Times New Roman" w:hAnsi="Times New Roman"/>
                <w:bdr w:val="none" w:sz="0" w:space="0" w:color="auto" w:frame="1"/>
              </w:rPr>
              <w:t>przekątna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dr w:val="none" w:sz="0" w:space="0" w:color="auto" w:frame="1"/>
              </w:rPr>
              <w:t>ekranu</w:t>
            </w:r>
            <w:r>
              <w:rPr>
                <w:rFonts w:ascii="Times New Roman" w:hAnsi="Times New Roman"/>
              </w:rPr>
              <w:t> LCD minimum 15.6 cali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   - </w:t>
            </w:r>
            <w:r>
              <w:rPr>
                <w:rFonts w:ascii="Times New Roman" w:hAnsi="Times New Roman"/>
                <w:bdr w:val="none" w:sz="0" w:space="0" w:color="auto" w:frame="1"/>
              </w:rPr>
              <w:t>procesor</w:t>
            </w:r>
            <w:r>
              <w:rPr>
                <w:rFonts w:ascii="Times New Roman" w:hAnsi="Times New Roman"/>
              </w:rPr>
              <w:t xml:space="preserve"> minimum Intel® </w:t>
            </w:r>
            <w:proofErr w:type="spellStart"/>
            <w:r>
              <w:rPr>
                <w:rFonts w:ascii="Times New Roman" w:hAnsi="Times New Roman"/>
              </w:rPr>
              <w:t>Core</w:t>
            </w:r>
            <w:proofErr w:type="spellEnd"/>
            <w:r>
              <w:rPr>
                <w:rFonts w:ascii="Times New Roman" w:hAnsi="Times New Roman"/>
              </w:rPr>
              <w:t>™ i5 lub równoważny: min. 1.7 GHz, min. 3 MB </w:t>
            </w:r>
            <w:r>
              <w:rPr>
                <w:rFonts w:ascii="Times New Roman" w:hAnsi="Times New Roman"/>
                <w:bdr w:val="none" w:sz="0" w:space="0" w:color="auto" w:frame="1"/>
              </w:rPr>
              <w:t>Cache</w:t>
            </w:r>
            <w:r>
              <w:rPr>
                <w:rFonts w:ascii="Times New Roman" w:hAnsi="Times New Roman"/>
              </w:rPr>
              <w:t>, ilość 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rdzeni min. </w:t>
            </w:r>
            <w:r>
              <w:rPr>
                <w:rFonts w:ascii="Times New Roman" w:hAnsi="Times New Roman"/>
              </w:rPr>
              <w:t>2 szt.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 -  wielkość pamięci 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RAM min. </w:t>
            </w:r>
            <w:r>
              <w:rPr>
                <w:rFonts w:ascii="Times New Roman" w:hAnsi="Times New Roman"/>
              </w:rPr>
              <w:t xml:space="preserve">8 GB; </w:t>
            </w:r>
            <w:r>
              <w:rPr>
                <w:rFonts w:ascii="Times New Roman" w:hAnsi="Times New Roman"/>
                <w:bdr w:val="none" w:sz="0" w:space="0" w:color="auto" w:frame="1"/>
              </w:rPr>
              <w:t>DDR3</w:t>
            </w:r>
            <w:r>
              <w:rPr>
                <w:rFonts w:ascii="Times New Roman" w:hAnsi="Times New Roman"/>
              </w:rPr>
              <w:t> (1600 MHz)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 - pojemność dysku 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min. </w:t>
            </w:r>
            <w:r>
              <w:rPr>
                <w:rFonts w:ascii="Times New Roman" w:hAnsi="Times New Roman"/>
              </w:rPr>
              <w:t>450 GB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 -  rodzaj </w:t>
            </w:r>
            <w:r>
              <w:rPr>
                <w:rFonts w:ascii="Times New Roman" w:hAnsi="Times New Roman"/>
                <w:bdr w:val="none" w:sz="0" w:space="0" w:color="auto" w:frame="1"/>
              </w:rPr>
              <w:t>dysku twardego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dr w:val="none" w:sz="0" w:space="0" w:color="auto" w:frame="1"/>
              </w:rPr>
              <w:t>SSD</w:t>
            </w:r>
            <w:r>
              <w:rPr>
                <w:rFonts w:ascii="Times New Roman" w:hAnsi="Times New Roman"/>
              </w:rPr>
              <w:t> (</w:t>
            </w:r>
            <w:proofErr w:type="spellStart"/>
            <w:r>
              <w:rPr>
                <w:rFonts w:ascii="Times New Roman" w:hAnsi="Times New Roman"/>
              </w:rPr>
              <w:t>flash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  -  zainstalowany system operacyjny - Windows 7 Professional lub Windows 8.1 Professional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  -  nominalna </w:t>
            </w:r>
            <w:r>
              <w:rPr>
                <w:rFonts w:ascii="Times New Roman" w:hAnsi="Times New Roman"/>
                <w:bdr w:val="none" w:sz="0" w:space="0" w:color="auto" w:frame="1"/>
              </w:rPr>
              <w:t>rozdzielczość</w:t>
            </w:r>
            <w:r>
              <w:rPr>
                <w:rFonts w:ascii="Times New Roman" w:hAnsi="Times New Roman"/>
              </w:rPr>
              <w:t> LCD min. 1366 x 768 </w:t>
            </w:r>
            <w:r>
              <w:rPr>
                <w:rFonts w:ascii="Times New Roman" w:hAnsi="Times New Roman"/>
                <w:bdr w:val="none" w:sz="0" w:space="0" w:color="auto" w:frame="1"/>
              </w:rPr>
              <w:t>pikseli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    - </w:t>
            </w:r>
            <w:r>
              <w:rPr>
                <w:rFonts w:ascii="Times New Roman" w:hAnsi="Times New Roman"/>
                <w:bdr w:val="none" w:sz="0" w:space="0" w:color="auto" w:frame="1"/>
              </w:rPr>
              <w:t>napęd optyczny DVD</w:t>
            </w:r>
            <w:r>
              <w:rPr>
                <w:rFonts w:ascii="Times New Roman" w:hAnsi="Times New Roman"/>
              </w:rPr>
              <w:t>+/-</w:t>
            </w:r>
            <w:r>
              <w:rPr>
                <w:rFonts w:ascii="Times New Roman" w:hAnsi="Times New Roman"/>
                <w:bdr w:val="none" w:sz="0" w:space="0" w:color="auto" w:frame="1"/>
              </w:rPr>
              <w:t>RW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  -  wyjścia karty graficznej wyjście D-</w:t>
            </w:r>
            <w:proofErr w:type="spellStart"/>
            <w:r>
              <w:rPr>
                <w:rFonts w:ascii="Times New Roman" w:hAnsi="Times New Roman"/>
              </w:rPr>
              <w:t>Sub</w:t>
            </w:r>
            <w:proofErr w:type="spellEnd"/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  - wyjście </w:t>
            </w:r>
            <w:r>
              <w:rPr>
                <w:rFonts w:ascii="Times New Roman" w:hAnsi="Times New Roman"/>
                <w:bdr w:val="none" w:sz="0" w:space="0" w:color="auto" w:frame="1"/>
              </w:rPr>
              <w:t>HDMI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    -  karta dźwiękowa </w:t>
            </w:r>
            <w:r>
              <w:rPr>
                <w:rFonts w:ascii="Times New Roman" w:hAnsi="Times New Roman"/>
                <w:bdr w:val="none" w:sz="0" w:space="0" w:color="auto" w:frame="1"/>
              </w:rPr>
              <w:t>stereo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    czytnik 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kart pamięci </w:t>
            </w:r>
            <w:r>
              <w:rPr>
                <w:rFonts w:ascii="Times New Roman" w:hAnsi="Times New Roman"/>
              </w:rPr>
              <w:t>SD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    - komunikacja: </w:t>
            </w:r>
            <w:r>
              <w:rPr>
                <w:rFonts w:ascii="Times New Roman" w:hAnsi="Times New Roman"/>
                <w:bdr w:val="none" w:sz="0" w:space="0" w:color="auto" w:frame="1"/>
              </w:rPr>
              <w:t>Bluetooth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dr w:val="none" w:sz="0" w:space="0" w:color="auto" w:frame="1"/>
              </w:rPr>
              <w:t>LAN</w:t>
            </w:r>
            <w:r>
              <w:rPr>
                <w:rFonts w:ascii="Times New Roman" w:hAnsi="Times New Roman"/>
              </w:rPr>
              <w:t xml:space="preserve"> 1 </w:t>
            </w:r>
            <w:proofErr w:type="spellStart"/>
            <w:r>
              <w:rPr>
                <w:rFonts w:ascii="Times New Roman" w:hAnsi="Times New Roman"/>
              </w:rPr>
              <w:t>Gbps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> IEEE 802.11b/g/n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  -  złącza : min. 1 x 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USB, </w:t>
            </w:r>
            <w:r>
              <w:rPr>
                <w:rFonts w:ascii="Times New Roman" w:hAnsi="Times New Roman"/>
              </w:rPr>
              <w:t>2 x </w:t>
            </w:r>
            <w:r>
              <w:rPr>
                <w:rFonts w:ascii="Times New Roman" w:hAnsi="Times New Roman"/>
                <w:bdr w:val="none" w:sz="0" w:space="0" w:color="auto" w:frame="1"/>
              </w:rPr>
              <w:t>USB</w:t>
            </w:r>
            <w:r>
              <w:rPr>
                <w:rFonts w:ascii="Times New Roman" w:hAnsi="Times New Roman"/>
              </w:rPr>
              <w:t> 3.0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  -  kamera HD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   -  zasilacz</w:t>
            </w:r>
          </w:p>
          <w:p w:rsidR="00D83F42" w:rsidRDefault="00D83F42">
            <w:pPr>
              <w:spacing w:after="0" w:line="240" w:lineRule="auto"/>
              <w:ind w:left="284" w:hanging="56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3F42" w:rsidRDefault="00D83F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Drukarka laserowa monochromatyczna z automatycznym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duplexem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interfejsem sieciowym 10/100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wykorzystująca tonery stosowane przez Zamawiającego. </w:t>
            </w:r>
          </w:p>
          <w:p w:rsidR="00D83F42" w:rsidRDefault="00D8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Aktualnie modelem spełniającym te wymogi jest model 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</w:p>
          <w:p w:rsidR="00D83F42" w:rsidRDefault="00D83F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2010 Standard PL wraz z usługą Software Assurance – zakup w ramach posiadanej przez Zamawiającego licencji OVL z wykupem subskrypcji za okres 3 lat z góry – 2 licencje.</w:t>
            </w:r>
          </w:p>
          <w:p w:rsidR="00D83F42" w:rsidRDefault="00D83F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Zagwarantuje ( własnym staraniem i kosztem ) dostęp do elektronicznej wersji podręcznika chorób wewnętrznych „ </w:t>
            </w:r>
            <w:r w:rsidR="00421845">
              <w:rPr>
                <w:rFonts w:ascii="Times New Roman" w:hAnsi="Times New Roman"/>
                <w:sz w:val="24"/>
                <w:szCs w:val="24"/>
              </w:rPr>
              <w:t>Interna Szczeklika” na lata 2020-2021</w:t>
            </w:r>
          </w:p>
          <w:p w:rsidR="00D83F42" w:rsidRDefault="00D8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2" w:rsidRDefault="00D8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83F42" w:rsidRDefault="00421845" w:rsidP="00D8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UWAGA: Wykonawca zapewni:</w:t>
      </w:r>
    </w:p>
    <w:p w:rsidR="00421845" w:rsidRDefault="00421845" w:rsidP="00D8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dwustronną komunikację analizatora ze szpitalnym systemem informatycznym, z uwzględnieniem identyfikacji próbki na podstawie kodu paskowego, w terminie do 2 tygodni od instalacji urządzenia , własnym staraniem i kosztem.</w:t>
      </w:r>
    </w:p>
    <w:p w:rsidR="00421845" w:rsidRDefault="00421845" w:rsidP="00D8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zapewni (własnym staraniem i kosztem) możliwość bezobsługowego przekazywania danych kontroli wewnątrzlaboratoryjnej z analizatora do programu kontroli badań użytkowanego w szpitalnym laboratorium Zamawiającego.</w:t>
      </w:r>
    </w:p>
    <w:p w:rsidR="00421845" w:rsidRDefault="00421845" w:rsidP="00D8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ważność odczynników po dostarczeniu do laboratorium – </w:t>
      </w:r>
      <w:r w:rsidR="008E6702">
        <w:rPr>
          <w:rFonts w:ascii="Times New Roman" w:hAnsi="Times New Roman"/>
          <w:sz w:val="24"/>
          <w:szCs w:val="24"/>
        </w:rPr>
        <w:t xml:space="preserve">min. 3 miesiące </w:t>
      </w:r>
    </w:p>
    <w:p w:rsidR="0060713A" w:rsidRDefault="00421845" w:rsidP="00D8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gwarancję na dzierżawiony analizator na cały okres trwania umowy (przeglądy gwarancyjne i naprawy wraz z częściami zamiennymi – na koszt wykonawcy); czas reakcji serwisu</w:t>
      </w:r>
      <w:r w:rsidR="0060713A">
        <w:rPr>
          <w:rFonts w:ascii="Times New Roman" w:hAnsi="Times New Roman"/>
          <w:sz w:val="24"/>
          <w:szCs w:val="24"/>
        </w:rPr>
        <w:t xml:space="preserve"> – do 24h; serwis gwarantowany bezpośrednio przez Wykonawcę, bez podwykonawców. W razie awarii przekraczającej 24h Wykonawca zapewni wykonywanie następujących badań na własny koszt, w innej jednostce: alkohol etylowy, CK aktywność, </w:t>
      </w:r>
      <w:proofErr w:type="spellStart"/>
      <w:r w:rsidR="0060713A">
        <w:rPr>
          <w:rFonts w:ascii="Times New Roman" w:hAnsi="Times New Roman"/>
          <w:sz w:val="24"/>
          <w:szCs w:val="24"/>
        </w:rPr>
        <w:t>digoksyna</w:t>
      </w:r>
      <w:proofErr w:type="spellEnd"/>
      <w:r w:rsidR="0060713A">
        <w:rPr>
          <w:rFonts w:ascii="Times New Roman" w:hAnsi="Times New Roman"/>
          <w:sz w:val="24"/>
          <w:szCs w:val="24"/>
        </w:rPr>
        <w:t>, LDH.</w:t>
      </w:r>
    </w:p>
    <w:p w:rsidR="0060713A" w:rsidRDefault="0060713A" w:rsidP="00D8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demontaż i odbiór urządzenia w czasie nie dłuższym niż 4 tygodnie od zakończenia obowiązywania umowy</w:t>
      </w:r>
    </w:p>
    <w:p w:rsidR="0060713A" w:rsidRDefault="0060713A" w:rsidP="00D8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dostarczenie w formie elektronicznej lub pisemnej karty charakterystyk substancji niebezpiecznych, spełniające wymagania: 1) Rozporządzenia Parlamentu Europejskiego i Rady (WE) nr 1272/2008 z dnia 16 grudnia 2008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>. zm.; 2) Rozporządzenia Komisji (UE) 2015/830 z dnia 28 maja 2015 (na etapie zawarcia umowy)</w:t>
      </w:r>
    </w:p>
    <w:p w:rsidR="0060713A" w:rsidRDefault="0060713A" w:rsidP="00D8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wymianę wadliwego urządzenia na nowe w razie 3-krotnej awarii w ciągu roku tego samego podzespołu</w:t>
      </w:r>
    </w:p>
    <w:p w:rsidR="0060713A" w:rsidRDefault="0060713A" w:rsidP="00D8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przeszkolenie w pełnym zakresie, niezbędnym do poprawnej obsługi analizatora</w:t>
      </w:r>
    </w:p>
    <w:p w:rsidR="00421845" w:rsidRDefault="0060713A" w:rsidP="00D8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instrukcja obsługi w j. polskim (na etapie zawarcia umowy) </w:t>
      </w:r>
    </w:p>
    <w:p w:rsidR="0060713A" w:rsidRDefault="0060713A" w:rsidP="00D83F42">
      <w:pPr>
        <w:jc w:val="right"/>
        <w:rPr>
          <w:rFonts w:ascii="Times New Roman" w:hAnsi="Times New Roman"/>
          <w:sz w:val="24"/>
          <w:szCs w:val="24"/>
        </w:rPr>
      </w:pPr>
    </w:p>
    <w:p w:rsidR="00D83F42" w:rsidRDefault="00D83F42" w:rsidP="00D83F4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60713A" w:rsidRDefault="00D83F42" w:rsidP="00D83F42">
      <w:pPr>
        <w:rPr>
          <w:rFonts w:ascii="Times New Roman" w:hAnsi="Times New Roman"/>
        </w:rPr>
      </w:pPr>
      <w:r>
        <w:rPr>
          <w:rFonts w:ascii="Times New Roman" w:hAnsi="Times New Roman"/>
        </w:rPr>
        <w:t>czytelny podpis lub pieczęć imienna i podpis umocowanej osoby do dokonywania czynności w imieniu Wykonawcy</w:t>
      </w:r>
      <w:r w:rsidR="0060713A">
        <w:rPr>
          <w:rFonts w:ascii="Times New Roman" w:hAnsi="Times New Roman"/>
        </w:rPr>
        <w:t>.</w:t>
      </w:r>
    </w:p>
    <w:p w:rsidR="00753AF5" w:rsidRPr="00753AF5" w:rsidRDefault="0060713A" w:rsidP="00753AF5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Pakiet nr 2</w:t>
      </w:r>
      <w:r w:rsidR="000645E1">
        <w:rPr>
          <w:rFonts w:ascii="Times New Roman" w:hAnsi="Times New Roman"/>
          <w:b/>
        </w:rPr>
        <w:t xml:space="preserve">: </w:t>
      </w:r>
      <w:r w:rsidR="000645E1" w:rsidRPr="00D12149">
        <w:rPr>
          <w:b/>
        </w:rPr>
        <w:t xml:space="preserve">Odczynniki do oznaczeń immunologicznych z </w:t>
      </w:r>
      <w:proofErr w:type="spellStart"/>
      <w:r w:rsidR="000645E1" w:rsidRPr="00D12149">
        <w:rPr>
          <w:b/>
        </w:rPr>
        <w:t>dierżawą</w:t>
      </w:r>
      <w:proofErr w:type="spellEnd"/>
      <w:r w:rsidR="000645E1" w:rsidRPr="00D12149">
        <w:rPr>
          <w:b/>
        </w:rPr>
        <w:t xml:space="preserve"> niezbędnego do wykonania tych badań sprzętu</w:t>
      </w:r>
    </w:p>
    <w:tbl>
      <w:tblPr>
        <w:tblW w:w="1502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301"/>
        <w:gridCol w:w="2272"/>
        <w:gridCol w:w="846"/>
        <w:gridCol w:w="993"/>
        <w:gridCol w:w="851"/>
        <w:gridCol w:w="993"/>
        <w:gridCol w:w="1275"/>
        <w:gridCol w:w="1275"/>
        <w:gridCol w:w="1276"/>
        <w:gridCol w:w="601"/>
        <w:gridCol w:w="620"/>
        <w:gridCol w:w="764"/>
        <w:gridCol w:w="2551"/>
      </w:tblGrid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1211"/>
        </w:trPr>
        <w:tc>
          <w:tcPr>
            <w:tcW w:w="106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wymagane zestawy odczynnikowe wraz z liczbą przewidywanych badań</w:t>
            </w:r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oraz zestawienie sprzętu niezbędnego do wykonania tych analiz.</w:t>
            </w:r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3AF5" w:rsidRPr="008A41E5" w:rsidRDefault="00753AF5" w:rsidP="001C417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3AF5" w:rsidRPr="008A41E5" w:rsidRDefault="00753AF5" w:rsidP="001C417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106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P/c przeciwjądrowe  (Hep-2/wątroba małpia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/żołądek/nerka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    IIF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p.dwuniciowemu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DNA - kompleks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dsDNA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nukleosomami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Zestaw oznaczający p/c p. :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nRNP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/Sm, Sm, SS-A, SS-B, Scl-70, Jo-1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P/c p. cytoplazmie granulocytów  IIF (granulocyty utrwalone etanolem, granulocyty utrwalone formaliną, Hep-2)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p.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cytopl.granulocytów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- profil :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mieloperoksydaza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proteinaza 3,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elastaza,katepsyna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G,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laktoferryna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BPI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79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  <w:p w:rsidR="00753AF5" w:rsidRPr="008A41E5" w:rsidRDefault="00753AF5" w:rsidP="001C41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Mozaika 6 tkanek :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Hep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2, wątroba małpia,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watroba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szczura, </w:t>
            </w:r>
          </w:p>
          <w:p w:rsidR="00753AF5" w:rsidRPr="008A41E5" w:rsidRDefault="00753AF5" w:rsidP="001C41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nerka szczura, żołądek szczura, komórki naczyniowe mięśni gładkich     IIF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53AF5" w:rsidRPr="008A41E5" w:rsidRDefault="00753AF5" w:rsidP="001C417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P/c p. błonie podstawnej kłębuszka nerkowego IIF (nerka małpy)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P/c przeciw receptorowi fosfolipazy A2 (anty PLA-2R)   IIF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Test ilościowy - p/c przeciw PLA-2R 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P/c p. komórkom okładzinowym żołądka i czynnikowi wew.  IIF (żołądek małpy, oczyszczony czynnik wewnętrzny)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p/ ludzkiej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transglutaminazie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tkankowej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IgA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p-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deamidowanym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peptydom gliadyny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w przewlekłych zapalnych chorobach jelit  IIF (trzustka małpy, jelito cienkie małpy,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Saccharomyces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cerevisiae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granulocyty utrwalone etanolem)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783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  <w:p w:rsidR="00753AF5" w:rsidRPr="008A41E5" w:rsidRDefault="00753AF5" w:rsidP="001C41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P/c w autoimmunologicznych schorzeniach wątroby z wyszczególnieniem</w:t>
            </w:r>
          </w:p>
          <w:p w:rsidR="00753AF5" w:rsidRPr="008A41E5" w:rsidRDefault="00753AF5" w:rsidP="001C41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(AMA - M 2, 3E (BPO), Sp 100, PML, p 210, LKM-1, LC-1,SLA/LP, Ro-52)  IB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53AF5" w:rsidRPr="008A41E5" w:rsidRDefault="00753AF5" w:rsidP="001C417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1069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  <w:p w:rsidR="00753AF5" w:rsidRPr="008A41E5" w:rsidRDefault="00753AF5" w:rsidP="001C41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Zestaw oznaczający: n RNP/Sm, SS-A,Ro-52, SS-B,Scl-70,PM-Scl,Jo-1, centromery</w:t>
            </w:r>
          </w:p>
          <w:p w:rsidR="00753AF5" w:rsidRPr="008A41E5" w:rsidRDefault="00753AF5" w:rsidP="001C41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ds. DNA,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nukleosomy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histony,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rybosomalne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białko P, AMA-M2, PCNA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DFS 70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IB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53AF5" w:rsidRPr="008A41E5" w:rsidRDefault="00753AF5" w:rsidP="001C417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Dehydroepiandrosteron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- siarczan   EL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p. boreliozie - test potwierdzenia w klasie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IgM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IB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p. boreliozie - test potwierdzenia w klasie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IB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p. boreliozie w surowicy z uwzględnieniem VLSE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IgM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p. boreliozie w surowicy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p. boreliozie w PMR (pełen antygen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Borrelia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burgdorferi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B.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garinii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B.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afzelii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), z uwzględnieniem VLSE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IgM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p. boreliozie w PMR (pełen antygen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Borrelia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burgdorferi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B.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garinii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B.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afzelii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1059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53AF5" w:rsidRPr="008A41E5" w:rsidRDefault="00753AF5" w:rsidP="001C417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Przeciwciała antykardiolipinowe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EL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Przeciwciała antykardiolipinowe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IgM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Przeciwciała p-beta2glikoproteinie 1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Przeciwciała p-beta2glikoproteinie 1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IgM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P/c p-cyklicznemu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cytrulinowanemu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peptydowi; rekombinowany antygen II generacji, klasa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Chlamydia trachom 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Chlamydia trachom 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IgM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Chalmydia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pneum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Chlamydia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pneum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IgA</w:t>
            </w:r>
            <w:proofErr w:type="spellEnd"/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105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33.</w:t>
            </w:r>
          </w:p>
          <w:p w:rsidR="00753AF5" w:rsidRPr="008A41E5" w:rsidRDefault="00753AF5" w:rsidP="001C41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E37A36" w:rsidRDefault="00753AF5" w:rsidP="001C41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37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Panel przeciwciał ANA z dodatkowym uwzględnieniem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przeciwciał przeciw Mi-2 i Ku IB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E37A36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37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53AF5" w:rsidRPr="008A41E5" w:rsidRDefault="00753AF5" w:rsidP="001C417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Zestaw do oznaczania przeciwciał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antymitochondrial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AMA i M2 na jednym szkiełku IIF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ASMA IIF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Odczynnik do absorpcji RF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Alergiczny profil wziewny z objęciem co najmniej następujących alergenów: żyta (g12) tymotki łąkowej (g6), olchy (t2), leszczyny (t4), brzozy (t3), bylicy (w6), babki lancetowatej (w9),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dermatophagoides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pteronyssinus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(d1),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dermatophagoides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farinae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(d2), kota (e1), psa (e2),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cladosporinum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herbarum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(m2),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penicillinum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notatum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(m1)    + CCD     IB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Alergiczny profil pokarmowy z objęciem co najmniej następujących alergenów: białka jaja (f1), żółtka jaja (f75), mleka (f2), mąki pszennej (f4), mąki żytniej (f5), orzecha ziemnego (f13), jabłka (f49), kiwi (f84), pomidora (f25), marchwi (f31), dorsza (f3)   +CCD    IB</w:t>
            </w: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Alergiczny profil wziewno-pokarmowo z uwzględnieniem co najmniej następujących alergenów: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bylicy (w6), rzepaku (w203), brzozy (t3), leszczyny (t4), pyłków czterech podstawowych zbóż (gs21, g12, g14, g18, g101), kota (e1), psa (e2), królika (e82), kakao (f73), soja (f14), Candida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albicans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(m5), kakao (f73), sera (f81), wieprzowiny (f26), wołowiny (f27)    +  CCD     IB</w:t>
            </w: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F650EB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0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Testy do oceny uczulenia na składniki mleka: mleko krowie (f2) w tym: alfa-laktoalbumina (F76), beta-laktoglobulina (F77), kazeina (F78),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laktoferyna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(F334)    + CCD     IB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F650EB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P/c p. cytoplazmie granulocytów IIF (granulocyty utrwalone etanolem, granulocyty utrwalone formaliną, Hep-2, MPO, Pr3)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F650EB" w:rsidRDefault="00A40DA2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Zestaw oznaczający: n RNP/Sm, SS-A, Ro-52, SS-B, Scl-70, PM-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Jo-1, centymetry A i B, ds. DNA,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nukleosomy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histony,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rybosomalne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białko P, AMA-M2, PCNA, Mi-2alfa, Mi-2beta, Ku, Sp 100, PML, PM-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100, Pm-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75, RP11, RP 155, gp210, DFS 70.   IB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F650EB" w:rsidRDefault="00A40DA2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ZXestaw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oznaczający: AMA-M2, M2-3E, ryb. białko P, Jo-1, SRP, PL-7, PL-12, EJ, OJ, Ro-52   IB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F650EB" w:rsidRDefault="00A40DA2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 16: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antygeny: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VlsE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Borrelia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burgdorferi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wysoko oczyszczona rekombinowana flagelina (p41),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BmpA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(p39) oraz wysoko oczyszczone rekombinowane,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wysokospecyficzne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dimeryczne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antygeny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OspC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(p25) z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Borrelia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afzelii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Borrelia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burgdorferi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Borrelia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garinii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Borrelia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spielmanii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F650EB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0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F650EB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0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F650EB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0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F650EB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0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F650EB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0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 17: </w:t>
            </w:r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antygeny: rekombinowane (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VlsE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Borrelia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burgdorferi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VlsE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B.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garinii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VlsE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B.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afzelii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lipidy charakterystyczne dla fazy późnej: lipid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Borrelia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afzelii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lipid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Borrelia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burgdorferi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</w:t>
            </w:r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83, p41, p39, natywne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OspC</w:t>
            </w:r>
            <w:proofErr w:type="spellEnd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p58, p21, p20, p19, p18)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F650EB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0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10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F650EB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0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1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F650EB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0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1144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240341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F650EB" w:rsidRDefault="00753AF5" w:rsidP="001C417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87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IIF - metoda immunofluorescencji pośredniej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 - metoda immunoenzymatyczna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IB -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immunobloting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WB - western </w:t>
            </w:r>
            <w:proofErr w:type="spellStart"/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blotting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AF5" w:rsidRPr="008A41E5" w:rsidTr="001C4176">
        <w:trPr>
          <w:gridBefore w:val="1"/>
          <w:gridAfter w:val="2"/>
          <w:wBefore w:w="409" w:type="dxa"/>
          <w:wAfter w:w="3315" w:type="dxa"/>
          <w:trHeight w:val="2064"/>
        </w:trPr>
        <w:tc>
          <w:tcPr>
            <w:tcW w:w="11303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F5" w:rsidRPr="00B83742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8374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Wykonawca zapewni sprzęt do wykonywania wyżej wymienionych badań: </w:t>
            </w:r>
          </w:p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analizator do wykonywania badań testów ELISA, mikroskop do oceny preparatów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immunofluorescencyjnych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zestawy komputerowe wraz z oprogramowaniem MS Office, wersja BOX lub MOLP, </w:t>
            </w:r>
          </w:p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drukarkę,</w:t>
            </w:r>
          </w:p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czytnik</w:t>
            </w:r>
          </w:p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płuczkę automatyczną ELISA,</w:t>
            </w:r>
          </w:p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skaner </w:t>
            </w:r>
          </w:p>
          <w:p w:rsidR="00753AF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sprzęt do inkubacji testów typu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immunoblot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Westernblot</w:t>
            </w:r>
            <w:proofErr w:type="spellEnd"/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Wykonawca dostarczy chłodziarkę do przechowywania odczynników o poj. ok. 340l z zamrażarką o poj. ok. 90l.</w:t>
            </w:r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zapewni bezpłatny udział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międzylaboratoryjnej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kontroli jakości dla wszystkich powyższych analiz z częstotliwością nie mniejszą niż 1 raz w roku</w:t>
            </w:r>
          </w:p>
          <w:p w:rsidR="00753AF5" w:rsidRPr="008A41E5" w:rsidRDefault="00753AF5" w:rsidP="001C417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1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3AF5" w:rsidRPr="008A41E5" w:rsidTr="001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gridSpan w:val="2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18" w:type="dxa"/>
            <w:gridSpan w:val="2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993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badań</w:t>
            </w:r>
          </w:p>
        </w:tc>
        <w:tc>
          <w:tcPr>
            <w:tcW w:w="851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bCs/>
                <w:sz w:val="24"/>
                <w:szCs w:val="24"/>
              </w:rPr>
              <w:t>Ilość opak.</w:t>
            </w:r>
          </w:p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Cena jedn. opak.</w:t>
            </w:r>
          </w:p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275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(kol.4x5)</w:t>
            </w:r>
          </w:p>
        </w:tc>
        <w:tc>
          <w:tcPr>
            <w:tcW w:w="1275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Stawka podatku</w:t>
            </w:r>
          </w:p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1276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Kwota podatku VAT</w:t>
            </w:r>
          </w:p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(kol.6x7)</w:t>
            </w:r>
          </w:p>
        </w:tc>
        <w:tc>
          <w:tcPr>
            <w:tcW w:w="1985" w:type="dxa"/>
            <w:gridSpan w:val="3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(kol.6+kol.8)</w:t>
            </w:r>
          </w:p>
        </w:tc>
        <w:tc>
          <w:tcPr>
            <w:tcW w:w="2551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Nr katalogowy/</w:t>
            </w:r>
          </w:p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producent</w:t>
            </w:r>
          </w:p>
        </w:tc>
      </w:tr>
      <w:tr w:rsidR="00753AF5" w:rsidRPr="008A41E5" w:rsidTr="001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710" w:type="dxa"/>
            <w:gridSpan w:val="2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5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5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gridSpan w:val="3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</w:tr>
      <w:tr w:rsidR="00753AF5" w:rsidRPr="008A41E5" w:rsidTr="001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710" w:type="dxa"/>
            <w:gridSpan w:val="2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F5" w:rsidRPr="008A41E5" w:rsidTr="001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0" w:type="dxa"/>
            <w:gridSpan w:val="2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F5" w:rsidRPr="008A41E5" w:rsidTr="001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0" w:type="dxa"/>
            <w:gridSpan w:val="2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Cs/>
                <w:sz w:val="24"/>
                <w:szCs w:val="24"/>
              </w:rPr>
              <w:t>Wartość dzierżawy za 24 m-ce</w:t>
            </w:r>
          </w:p>
        </w:tc>
        <w:tc>
          <w:tcPr>
            <w:tcW w:w="993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F5" w:rsidRPr="008A41E5" w:rsidTr="001C4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491" w:type="dxa"/>
            <w:gridSpan w:val="10"/>
          </w:tcPr>
          <w:p w:rsidR="00753AF5" w:rsidRPr="008A41E5" w:rsidRDefault="00753AF5" w:rsidP="001C41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41E5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985" w:type="dxa"/>
            <w:gridSpan w:val="3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F5" w:rsidRDefault="00753AF5" w:rsidP="00753AF5">
      <w:pPr>
        <w:rPr>
          <w:rFonts w:ascii="Times New Roman" w:hAnsi="Times New Roman"/>
          <w:sz w:val="24"/>
          <w:szCs w:val="24"/>
        </w:rPr>
      </w:pPr>
    </w:p>
    <w:p w:rsidR="00753AF5" w:rsidRDefault="00753AF5" w:rsidP="00753AF5">
      <w:pPr>
        <w:rPr>
          <w:rFonts w:ascii="Times New Roman" w:hAnsi="Times New Roman"/>
          <w:sz w:val="24"/>
          <w:szCs w:val="24"/>
        </w:rPr>
      </w:pPr>
    </w:p>
    <w:p w:rsidR="00753AF5" w:rsidRPr="008A41E5" w:rsidRDefault="00753AF5" w:rsidP="00753AF5">
      <w:pPr>
        <w:rPr>
          <w:rFonts w:ascii="Times New Roman" w:hAnsi="Times New Roman"/>
          <w:sz w:val="24"/>
          <w:szCs w:val="24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7"/>
        <w:gridCol w:w="1985"/>
        <w:gridCol w:w="2875"/>
      </w:tblGrid>
      <w:tr w:rsidR="00753AF5" w:rsidRPr="008A41E5" w:rsidTr="001C4176">
        <w:trPr>
          <w:trHeight w:val="906"/>
        </w:trPr>
        <w:tc>
          <w:tcPr>
            <w:tcW w:w="1630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937" w:type="dxa"/>
            <w:shd w:val="clear" w:color="auto" w:fill="C2D69B"/>
          </w:tcPr>
          <w:p w:rsidR="00753AF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bCs/>
                <w:sz w:val="24"/>
                <w:szCs w:val="24"/>
              </w:rPr>
              <w:t>Wymagania</w:t>
            </w:r>
          </w:p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Odnośnie analizatora i mikroskopu</w:t>
            </w:r>
          </w:p>
        </w:tc>
        <w:tc>
          <w:tcPr>
            <w:tcW w:w="1985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bCs/>
                <w:sz w:val="24"/>
                <w:szCs w:val="24"/>
              </w:rPr>
              <w:t>Parametry wymagane-  warunek graniczny</w:t>
            </w:r>
          </w:p>
        </w:tc>
        <w:tc>
          <w:tcPr>
            <w:tcW w:w="2875" w:type="dxa"/>
            <w:shd w:val="clear" w:color="auto" w:fill="C2D69B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bCs/>
                <w:sz w:val="24"/>
                <w:szCs w:val="24"/>
              </w:rPr>
              <w:t>Potwierdzenie spełnienia warunku granicznego</w:t>
            </w:r>
          </w:p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bCs/>
                <w:sz w:val="24"/>
                <w:szCs w:val="24"/>
              </w:rPr>
              <w:t>( TAK, NIE )</w:t>
            </w:r>
          </w:p>
        </w:tc>
      </w:tr>
      <w:tr w:rsidR="00753AF5" w:rsidRPr="008A41E5" w:rsidTr="001C4176">
        <w:trPr>
          <w:trHeight w:val="268"/>
        </w:trPr>
        <w:tc>
          <w:tcPr>
            <w:tcW w:w="14427" w:type="dxa"/>
            <w:gridSpan w:val="4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753A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1E5">
              <w:rPr>
                <w:rFonts w:ascii="Times New Roman" w:hAnsi="Times New Roman"/>
                <w:sz w:val="24"/>
                <w:szCs w:val="24"/>
              </w:rPr>
              <w:t>Nazwa i rok produkcji urządzeń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TAK (należy podać rok produkcji i nazwę </w:t>
            </w:r>
            <w:r w:rsidRPr="008A41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urządzeń)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753A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7" w:type="dxa"/>
            <w:gridSpan w:val="3"/>
          </w:tcPr>
          <w:p w:rsidR="00753AF5" w:rsidRPr="00B934F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4F5">
              <w:rPr>
                <w:rFonts w:ascii="Times New Roman" w:hAnsi="Times New Roman"/>
                <w:b/>
                <w:sz w:val="24"/>
                <w:szCs w:val="24"/>
              </w:rPr>
              <w:t>Analizator do testów ELISA</w:t>
            </w: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możliwość  wykonywania różnych testów podczas jednej inkubacji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całkowicie zautomatyzowany proces od momentu załadowania próbek do uzyskania wyników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identyfikacja próbek i odczynników przy użyciu kodów kreskowych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zakres pomiarowy nie mniejszy niż 400 – 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Pr="00AC0E77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zakres temperatur inkubacji co najmniej 20-40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alarm niskiego poziomu cieczy 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możliwość otrzymania wyników zarówno jakościowych jak i ilościowych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program umożliwiający  prowadzenie wewnątrzlaboratoryjnej kontroli jakości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system operacyjny Windows XP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analizy wykonywane zgodnie z dyrektywa 98/78 EG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2797" w:type="dxa"/>
            <w:gridSpan w:val="3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Mikroskop</w:t>
            </w: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źródło światła UV: lampa diodowa  LED, długość fali 460 – 490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  żywotność źródła  światła nie mniejsza niż 40 000 h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E5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źródło światła przechodzącego: lampa halogenowa, żywotność nie krótsza niż 1000 h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AF5" w:rsidRPr="008A41E5" w:rsidTr="001C4176">
        <w:trPr>
          <w:trHeight w:val="268"/>
        </w:trPr>
        <w:tc>
          <w:tcPr>
            <w:tcW w:w="1630" w:type="dxa"/>
          </w:tcPr>
          <w:p w:rsidR="00753AF5" w:rsidRPr="008A41E5" w:rsidRDefault="00753AF5" w:rsidP="001C417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</w:tcPr>
          <w:p w:rsidR="00753AF5" w:rsidRPr="008A41E5" w:rsidRDefault="00753AF5" w:rsidP="001C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mikroskop wyposażony dodatkowo w kamerę umożliwiającą wykonywanie , zapisywanie i przekazywanie zdjęć preparatów IIF</w:t>
            </w:r>
          </w:p>
        </w:tc>
        <w:tc>
          <w:tcPr>
            <w:tcW w:w="198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75" w:type="dxa"/>
          </w:tcPr>
          <w:p w:rsidR="00753AF5" w:rsidRPr="008A41E5" w:rsidRDefault="00753AF5" w:rsidP="001C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3AF5" w:rsidRDefault="00753AF5" w:rsidP="00753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UWAGA:</w:t>
      </w: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Wykonawca:</w:t>
      </w: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zapewni własnym staraniem i kosztem możliwość przekazywania zleceń i wyników badań z/do sieci informatycznej Szpitala (w czasie do 21 od podpisania umowy). Dotyczy to: skanera – odczyt testów paskowych, czytnika i analizatora – odczyt testów ELISA</w:t>
      </w: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dokona bezpłatnej instalacji urządzeń wraz z niezbędnymi przyłączami – zapewni bezpłatną aktualizację oprogramowania w trakcie trwania umowy.</w:t>
      </w: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udzieli gwarancji na przekazany sprzęt na cały okres trwania umowy (przeglądy gwarancyjne i naprawy wraz z częściami zamiennymi – na koszt Wykonawcy); czas reakcji serwisu – do 48h</w:t>
      </w: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dostarczy w formie elektronicznej lub pisemnej karty charakterystyk substancji niebezpiecznych, spełniające wymagania: 1) Rozporządzenia Parlamentu Europejskiego i Rady (WE) nr 1272/2008 z dnia 16 grudnia 2008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>. zm.; 2) Rozporządzenia Komisji (UE) 2015/830 z dnia 28 maja 2015 (na etapie zawarcia umowy).</w:t>
      </w: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wymieni wadliwe urządzenia na nowe w razie 3-krotnej awarii w ciągu roku tego samego podzespołu</w:t>
      </w: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zapewni demontaż i odbiór urządzeń w czasie nie dłuższym niż 4 tyg. od zakończenia obowiązywania umowy</w:t>
      </w: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zapewni nieodpłatne przeszkolenie osób wskazanych przez kierownika zakładu</w:t>
      </w: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dostarczy instrukcję w j. polskim (na etapie zawarcia umowy)</w:t>
      </w:r>
    </w:p>
    <w:p w:rsidR="00753AF5" w:rsidRPr="005A24DA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zapewni ważność odczynników po dostarczeniu do laboratorium – </w:t>
      </w:r>
      <w:r w:rsidR="008E6702">
        <w:rPr>
          <w:rFonts w:ascii="Times New Roman" w:hAnsi="Times New Roman"/>
          <w:sz w:val="24"/>
          <w:szCs w:val="24"/>
        </w:rPr>
        <w:t xml:space="preserve">…………….. </w:t>
      </w:r>
      <w:r w:rsidR="008E6702">
        <w:rPr>
          <w:rFonts w:ascii="Times New Roman" w:hAnsi="Times New Roman"/>
          <w:sz w:val="24"/>
          <w:szCs w:val="24"/>
        </w:rPr>
        <w:t>(min. 3 miesiące, zgodnie z II kryterium oceny ofert)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F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F5" w:rsidRPr="008A41E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F5" w:rsidRPr="008A41E5" w:rsidRDefault="00753AF5" w:rsidP="00753A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……………….. dnia 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41E5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53AF5" w:rsidRPr="008A41E5" w:rsidRDefault="00753AF5" w:rsidP="00753AF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sz w:val="24"/>
          <w:szCs w:val="24"/>
        </w:rPr>
        <w:tab/>
      </w:r>
      <w:r w:rsidRPr="008A41E5">
        <w:rPr>
          <w:rFonts w:ascii="Times New Roman" w:hAnsi="Times New Roman"/>
          <w:sz w:val="24"/>
          <w:szCs w:val="24"/>
        </w:rPr>
        <w:tab/>
      </w:r>
      <w:r w:rsidRPr="008A41E5">
        <w:rPr>
          <w:rFonts w:ascii="Times New Roman" w:hAnsi="Times New Roman"/>
          <w:sz w:val="24"/>
          <w:szCs w:val="24"/>
        </w:rPr>
        <w:tab/>
      </w:r>
      <w:r w:rsidRPr="008A41E5">
        <w:rPr>
          <w:rFonts w:ascii="Times New Roman" w:hAnsi="Times New Roman"/>
          <w:sz w:val="24"/>
          <w:szCs w:val="24"/>
        </w:rPr>
        <w:tab/>
      </w:r>
    </w:p>
    <w:p w:rsidR="00753AF5" w:rsidRPr="008A41E5" w:rsidRDefault="00753AF5" w:rsidP="00753AF5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sz w:val="24"/>
          <w:szCs w:val="24"/>
        </w:rPr>
        <w:t>czytelny podpis lub pieczęć imienna i podpis umocowanej osoby do dokonywania czynności w imieniu Wykonawcy</w:t>
      </w:r>
    </w:p>
    <w:p w:rsidR="00753AF5" w:rsidRPr="008A41E5" w:rsidRDefault="00753AF5" w:rsidP="00753AF5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</w:p>
    <w:p w:rsidR="0060713A" w:rsidRPr="0060713A" w:rsidRDefault="0060713A" w:rsidP="00753AF5">
      <w:pPr>
        <w:spacing w:after="160" w:line="259" w:lineRule="auto"/>
        <w:rPr>
          <w:rFonts w:ascii="Times New Roman" w:hAnsi="Times New Roman"/>
        </w:rPr>
      </w:pPr>
    </w:p>
    <w:sectPr w:rsidR="0060713A" w:rsidRPr="0060713A" w:rsidSect="00D83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7A0"/>
    <w:multiLevelType w:val="hybridMultilevel"/>
    <w:tmpl w:val="A880B062"/>
    <w:lvl w:ilvl="0" w:tplc="34DAE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01F8"/>
    <w:multiLevelType w:val="hybridMultilevel"/>
    <w:tmpl w:val="A880B062"/>
    <w:lvl w:ilvl="0" w:tplc="34DAE1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14458"/>
    <w:multiLevelType w:val="hybridMultilevel"/>
    <w:tmpl w:val="5630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42"/>
    <w:rsid w:val="000645E1"/>
    <w:rsid w:val="00067D1F"/>
    <w:rsid w:val="00115449"/>
    <w:rsid w:val="002D6D96"/>
    <w:rsid w:val="00421845"/>
    <w:rsid w:val="0060713A"/>
    <w:rsid w:val="00753AF5"/>
    <w:rsid w:val="008E6702"/>
    <w:rsid w:val="00A40DA2"/>
    <w:rsid w:val="00AE542F"/>
    <w:rsid w:val="00D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4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83F4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F42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4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83F4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F42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2260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user</cp:lastModifiedBy>
  <cp:revision>6</cp:revision>
  <dcterms:created xsi:type="dcterms:W3CDTF">2019-05-23T07:17:00Z</dcterms:created>
  <dcterms:modified xsi:type="dcterms:W3CDTF">2019-05-23T09:29:00Z</dcterms:modified>
</cp:coreProperties>
</file>