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5A122E">
        <w:rPr>
          <w:rFonts w:ascii="Verdana" w:hAnsi="Verdana"/>
          <w:sz w:val="16"/>
          <w:szCs w:val="16"/>
        </w:rPr>
        <w:t>KC-zp.272-210/19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B24823" w:rsidRPr="00B2482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24823" w:rsidRPr="00B24823">
        <w:rPr>
          <w:rFonts w:ascii="Verdana" w:hAnsi="Verdana"/>
          <w:sz w:val="16"/>
          <w:szCs w:val="16"/>
        </w:rPr>
        <w:t>2019-05-</w:t>
      </w:r>
      <w:r w:rsidR="005A122E">
        <w:rPr>
          <w:rFonts w:ascii="Verdana" w:hAnsi="Verdana"/>
          <w:sz w:val="16"/>
          <w:szCs w:val="16"/>
        </w:rPr>
        <w:t>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A32E86">
        <w:rPr>
          <w:rFonts w:ascii="Verdana" w:hAnsi="Verdana"/>
          <w:sz w:val="20"/>
        </w:rPr>
        <w:t xml:space="preserve"> 35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B24823" w:rsidRPr="00B24823">
        <w:rPr>
          <w:rFonts w:ascii="Verdana" w:hAnsi="Verdana"/>
          <w:b/>
          <w:sz w:val="20"/>
        </w:rPr>
        <w:t>2019-05-13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24823" w:rsidRPr="00B24823">
        <w:rPr>
          <w:rFonts w:ascii="Verdana" w:hAnsi="Verdana"/>
          <w:b/>
          <w:sz w:val="20"/>
        </w:rPr>
        <w:t>przetarg nieograniczony</w:t>
      </w:r>
      <w:r w:rsidR="005A122E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B24823" w:rsidRPr="00B24823">
        <w:rPr>
          <w:rFonts w:ascii="Verdana" w:hAnsi="Verdana"/>
          <w:b/>
          <w:sz w:val="20"/>
        </w:rPr>
        <w:t>Budowa budynku dla Wydziału Fizyki i Informatyki Stosowanej AGH w Krakowie - KC-zp.272-210/19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5A122E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Prosimy o informację, czy </w:t>
      </w:r>
      <w:proofErr w:type="spellStart"/>
      <w:r w:rsidRPr="005A122E">
        <w:rPr>
          <w:rFonts w:ascii="Verdana" w:eastAsia="Calibri" w:hAnsi="Verdana"/>
          <w:lang w:eastAsia="en-US"/>
        </w:rPr>
        <w:t>szpalety</w:t>
      </w:r>
      <w:proofErr w:type="spellEnd"/>
      <w:r w:rsidRPr="005A122E">
        <w:rPr>
          <w:rFonts w:ascii="Verdana" w:eastAsia="Calibri" w:hAnsi="Verdana"/>
          <w:lang w:eastAsia="en-US"/>
        </w:rPr>
        <w:t xml:space="preserve"> okienne należy obrobić blachą stalową malowaną (wg. opisu technicznego architektury), czy blachą aluminiową gr. 1,5 mm (wg. detalu D-19).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Odp.:</w:t>
      </w:r>
      <w:r>
        <w:rPr>
          <w:rFonts w:ascii="Verdana" w:hAnsi="Verdana"/>
          <w:b/>
        </w:rPr>
        <w:t xml:space="preserve"> Obróbkę blacharską</w:t>
      </w:r>
      <w:r w:rsidRPr="005A122E">
        <w:rPr>
          <w:rFonts w:ascii="Verdana" w:hAnsi="Verdana"/>
          <w:b/>
        </w:rPr>
        <w:t xml:space="preserve"> wnęk okiennych należy wykonać z aluminium powlekanego, natomiast podkonstrukcję wsporczą ze stali nierdzewnej. Przy połączeniach stosować przekładki zapobiegające korozji kontaktowej.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Prosimy o informację, czy zapisy </w:t>
      </w:r>
      <w:proofErr w:type="spellStart"/>
      <w:r w:rsidRPr="005A122E">
        <w:rPr>
          <w:rFonts w:ascii="Verdana" w:eastAsia="Calibri" w:hAnsi="Verdana"/>
          <w:lang w:eastAsia="en-US"/>
        </w:rPr>
        <w:t>STWiORB</w:t>
      </w:r>
      <w:proofErr w:type="spellEnd"/>
      <w:r w:rsidRPr="005A122E">
        <w:rPr>
          <w:rFonts w:ascii="Verdana" w:eastAsia="Calibri" w:hAnsi="Verdana"/>
          <w:lang w:eastAsia="en-US"/>
        </w:rPr>
        <w:t xml:space="preserve"> dotyczące betonu mają zastosowanie dla niektórych elementów konstrukcji (np. schody zewnętrzne), czy też dla całego obiektu?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396pt;height:100.5pt;visibility:visible;mso-wrap-style:square">
            <v:imagedata r:id="rId8" o:title=""/>
          </v:shape>
        </w:pic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Jeśli beton wg. </w:t>
      </w:r>
      <w:proofErr w:type="spellStart"/>
      <w:r w:rsidRPr="005A122E">
        <w:rPr>
          <w:rFonts w:ascii="Verdana" w:eastAsia="Calibri" w:hAnsi="Verdana"/>
          <w:lang w:eastAsia="en-US"/>
        </w:rPr>
        <w:t>STWiORB</w:t>
      </w:r>
      <w:proofErr w:type="spellEnd"/>
      <w:r w:rsidRPr="005A122E">
        <w:rPr>
          <w:rFonts w:ascii="Verdana" w:eastAsia="Calibri" w:hAnsi="Verdana"/>
          <w:lang w:eastAsia="en-US"/>
        </w:rPr>
        <w:t xml:space="preserve"> należy stosować dla całego obiektu będącego przedmiotem wyceny, prosimy o wyjaśnienie: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a) jaki jest cel zastosowania betonu mrozoodpornego? Klasy ekspozycji betonu podane w opisie technicznym konstrukcji nie zakładają stosowania betonów mrozoodpornych dla żadnych elementów konstrukcji budynku:</w:t>
      </w:r>
    </w:p>
    <w:p w:rsidR="005A122E" w:rsidRPr="005A122E" w:rsidRDefault="005A122E" w:rsidP="005A122E">
      <w:pPr>
        <w:spacing w:after="160" w:line="259" w:lineRule="auto"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hAnsi="Verdana"/>
          <w:noProof/>
        </w:rPr>
        <w:pict>
          <v:shape id="_x0000_i1098" type="#_x0000_t75" style="width:333pt;height:267.75pt;visibility:visible;mso-wrap-style:square">
            <v:imagedata r:id="rId9" o:title=""/>
          </v:shape>
        </w:pic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b) jaki jest cel zastosowania betonu o wodoszczelności W8 dla elementów innych, niż płyta fundamentowa oraz ściany zewnętrzne kondygnacji podziemnej?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shd w:val="clear" w:color="auto" w:fill="FFFFFF"/>
          <w:lang w:eastAsia="en-US"/>
        </w:rPr>
        <w:t>Odp.:</w:t>
      </w:r>
      <w:r w:rsidRPr="005A122E">
        <w:rPr>
          <w:rFonts w:ascii="Verdana" w:eastAsia="Calibri" w:hAnsi="Verdana"/>
          <w:b/>
          <w:lang w:eastAsia="en-US"/>
        </w:rPr>
        <w:t xml:space="preserve"> </w:t>
      </w:r>
      <w:proofErr w:type="spellStart"/>
      <w:r w:rsidRPr="005A122E">
        <w:rPr>
          <w:rFonts w:ascii="Verdana" w:eastAsia="Calibri" w:hAnsi="Verdana"/>
          <w:b/>
          <w:lang w:eastAsia="en-US"/>
        </w:rPr>
        <w:t>STWiORB</w:t>
      </w:r>
      <w:proofErr w:type="spellEnd"/>
      <w:r w:rsidRPr="005A122E">
        <w:rPr>
          <w:rFonts w:ascii="Verdana" w:eastAsia="Calibri" w:hAnsi="Verdana"/>
          <w:b/>
          <w:lang w:eastAsia="en-US"/>
        </w:rPr>
        <w:t xml:space="preserve">  należy rozpatrywać łącznie z projektem konstrukcyjnym, który podaje klasę betonu i inne wymagania dotyczące betonu.</w:t>
      </w:r>
    </w:p>
    <w:p w:rsidR="005A122E" w:rsidRPr="005A122E" w:rsidRDefault="005A122E" w:rsidP="005A122E">
      <w:pPr>
        <w:autoSpaceDE w:val="0"/>
        <w:autoSpaceDN w:val="0"/>
        <w:adjustRightInd w:val="0"/>
        <w:jc w:val="both"/>
        <w:rPr>
          <w:rFonts w:ascii="Verdana" w:eastAsia="CIDFont+F1" w:hAnsi="Verdana" w:cs="CIDFont+F1"/>
          <w:b/>
        </w:rPr>
      </w:pPr>
      <w:r w:rsidRPr="005A122E">
        <w:rPr>
          <w:rFonts w:ascii="Verdana" w:eastAsia="CIDFont+F1" w:hAnsi="Verdana" w:cs="CIDFont+F1"/>
          <w:b/>
        </w:rPr>
        <w:t>Zgodnie z opisem technicznym projektu konstrukcyjnego, dla elementów narażonych na oddziaływanie wody gruntowej (elementów podziemnych przyległych do gruntu) zaleca się użycie betonu o wodoszczelności W10 na bazie cementu hutniczego, zabezpieczającego elementy przed ewentualnym agresywnym oddziaływaniem wody gruntowej. Lokalnie w części magazynów źródeł/odpadów promieniotwórczych należy stosować beton barytowy.</w:t>
      </w:r>
    </w:p>
    <w:p w:rsidR="005A122E" w:rsidRPr="005A122E" w:rsidRDefault="005A122E" w:rsidP="005A122E">
      <w:pPr>
        <w:autoSpaceDE w:val="0"/>
        <w:autoSpaceDN w:val="0"/>
        <w:adjustRightInd w:val="0"/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IDFont+F1" w:hAnsi="Verdana" w:cs="CIDFont+F1"/>
          <w:b/>
        </w:rPr>
        <w:t xml:space="preserve">Zastosowanie domieszek do betonu uzależnione jest od Wykonawcy, winno być wynikiem opracowanej technologii wykonania obiektu, panującej temperatury, tempa prac budowlanych czyli </w:t>
      </w:r>
      <w:r w:rsidRPr="005A122E">
        <w:rPr>
          <w:rFonts w:ascii="Verdana" w:eastAsia="Calibri" w:hAnsi="Verdana"/>
          <w:b/>
          <w:lang w:eastAsia="en-US"/>
        </w:rPr>
        <w:t>beton mrozoodporny należy stosować przy betonowaniu w warunkach obniżonych temperatur.</w:t>
      </w:r>
    </w:p>
    <w:p w:rsidR="005A122E" w:rsidRDefault="005A122E" w:rsidP="005A122E">
      <w:pPr>
        <w:jc w:val="both"/>
        <w:rPr>
          <w:rFonts w:ascii="Verdana" w:hAnsi="Verdana"/>
        </w:rPr>
      </w:pPr>
    </w:p>
    <w:p w:rsidR="005A122E" w:rsidRDefault="005A122E" w:rsidP="005A122E">
      <w:pPr>
        <w:jc w:val="both"/>
        <w:rPr>
          <w:rFonts w:ascii="Verdana" w:hAnsi="Verdana"/>
        </w:rPr>
      </w:pPr>
    </w:p>
    <w:p w:rsid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3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W nawiązaniu do zapisów SIWZ dotyczących wyposażenia prosimy o potwierdzenie, że: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„AW_6_4-meble laboratoryjne_cz4”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„AW_6_2-zest_mebli_lab_cz2”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„AW_6_3-zest_mebli_lab_cz3”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„AW_6_5-zest_mebli_lab_cz5”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„AW_6-6_zest_mebli_lab_cz6”, z wyjątkiem szafy na chemikalia (SzL3),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„AW_7-1_zest_mebli_biurowych_cz1”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„AW_7-2_zest_mebli_biurowych_cz2”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„AW_7-3_zest_mebli_biurowych_cz3”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„AW_9-1_zest_mebli_kuch_cz1”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„AW_9-2_zest_mebli_kuch_cz2”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wszystkie elementy przedstawione na rysunku „AW_9-3_zest_mebli_kuch_cz3”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,</w:t>
      </w:r>
    </w:p>
    <w:p w:rsidR="005A122E" w:rsidRPr="005A122E" w:rsidRDefault="005A122E" w:rsidP="005A122E">
      <w:pPr>
        <w:numPr>
          <w:ilvl w:val="0"/>
          <w:numId w:val="1"/>
        </w:numPr>
        <w:contextualSpacing/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następujące elementy przedstawione na rysunku „AW_6_1-meble_laboratoryjne_cz1: stoły wagowe, szafy ubraniowe, taborety laboratoryjne, fotele laboratoryjne” </w:t>
      </w:r>
      <w:r w:rsidRPr="005A122E">
        <w:rPr>
          <w:rFonts w:ascii="Verdana" w:eastAsia="Calibri" w:hAnsi="Verdana"/>
          <w:b/>
          <w:lang w:eastAsia="en-US"/>
        </w:rPr>
        <w:t>znajdują się poza zakresem Wykonawcy</w:t>
      </w:r>
      <w:r w:rsidRPr="005A122E">
        <w:rPr>
          <w:rFonts w:ascii="Verdana" w:eastAsia="Calibri" w:hAnsi="Verdana"/>
          <w:lang w:eastAsia="en-US"/>
        </w:rPr>
        <w:t>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Odp.: Zamawiający potwierdza że ww. elementy (za wyjątkiem szafy na chemikalia) są poza zakresem dostaw Wykonawcy.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4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Prosimy o informację, gdzie znajduje się prysznic bezpieczeństwa (1 szt.), wyszcz</w:t>
      </w:r>
      <w:r>
        <w:rPr>
          <w:rFonts w:ascii="Verdana" w:eastAsia="Calibri" w:hAnsi="Verdana"/>
          <w:lang w:eastAsia="en-US"/>
        </w:rPr>
        <w:t xml:space="preserve">ególniony w przedmiarze „D20-PR </w:t>
      </w:r>
      <w:proofErr w:type="spellStart"/>
      <w:r w:rsidRPr="005A122E">
        <w:rPr>
          <w:rFonts w:ascii="Verdana" w:eastAsia="Calibri" w:hAnsi="Verdana"/>
          <w:lang w:eastAsia="en-US"/>
        </w:rPr>
        <w:t>Podstawowe_wyposazenie</w:t>
      </w:r>
      <w:proofErr w:type="spellEnd"/>
      <w:r w:rsidRPr="005A122E">
        <w:rPr>
          <w:rFonts w:ascii="Verdana" w:eastAsia="Calibri" w:hAnsi="Verdana"/>
          <w:lang w:eastAsia="en-US"/>
        </w:rPr>
        <w:t>”. Ponadto prosimy o przesłanie jego specyfikacji (brak jej w pliku „AW_6-7-meble_laboratoryjne-opis”).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 xml:space="preserve">Odp.:  Prysznic bezpieczeństwa znajduje się w pom. nr -1/5 i nr 0/14a. 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5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Prosimy o informację, gdzie znajdują się ramiona odciągowe (4 szt.), wyszczególnione w przedmiarze „D20-PR-Podstawowe_wyposazenie”. Ponadto prosimy o przesłanie ich specyfikacji (brak jej w pliku „AW_6-7-meble_laboratoryjne-opis”).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 xml:space="preserve">Odp.: Odpowiedź na pytanie została podana w </w:t>
      </w:r>
      <w:r>
        <w:rPr>
          <w:rFonts w:ascii="Verdana" w:eastAsia="Calibri" w:hAnsi="Verdana"/>
          <w:b/>
          <w:lang w:eastAsia="en-US"/>
        </w:rPr>
        <w:t xml:space="preserve">„Odpowiedzi na zapytania w sprawie SIWZ” nr 17 </w:t>
      </w:r>
      <w:r w:rsidRPr="005A122E">
        <w:rPr>
          <w:rFonts w:ascii="Verdana" w:eastAsia="Calibri" w:hAnsi="Verdana"/>
          <w:b/>
          <w:lang w:eastAsia="en-US"/>
        </w:rPr>
        <w:t>punk</w:t>
      </w:r>
      <w:r>
        <w:rPr>
          <w:rFonts w:ascii="Verdana" w:eastAsia="Calibri" w:hAnsi="Verdana"/>
          <w:b/>
          <w:lang w:eastAsia="en-US"/>
        </w:rPr>
        <w:t xml:space="preserve">t </w:t>
      </w:r>
      <w:r w:rsidRPr="005A122E">
        <w:rPr>
          <w:rFonts w:ascii="Verdana" w:eastAsia="Calibri" w:hAnsi="Verdana"/>
          <w:b/>
          <w:lang w:eastAsia="en-US"/>
        </w:rPr>
        <w:t>12</w:t>
      </w:r>
      <w:r>
        <w:rPr>
          <w:rFonts w:ascii="Verdana" w:eastAsia="Calibri" w:hAnsi="Verdana"/>
          <w:b/>
          <w:lang w:eastAsia="en-US"/>
        </w:rPr>
        <w:t>,</w:t>
      </w:r>
      <w:r w:rsidRPr="005A122E">
        <w:rPr>
          <w:rFonts w:ascii="Verdana" w:eastAsia="Calibri" w:hAnsi="Verdana"/>
          <w:b/>
          <w:lang w:eastAsia="en-US"/>
        </w:rPr>
        <w:t xml:space="preserve"> zamieszczonym na stronie DZP.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6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W instalacji wentylacji mechanicznej, dla układów wyciągowych z dygestorium oraz szaf na butle, zastosowano wentylatory chemoodporne dachowe. Brak informacji w opisie technicznym na temat technologii wykonania przewodów wentylacyjnych dla tych systemów. Prosimy o podanie przykładowej technologii bądź rodzaju zabezpieczenia kanałów wentylacyjnych.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 Technologia wykonania instalacji wyciągowej z dygestorium oraz szaf laboratoryjnych została określona w zestawieniu kształtek załączonym do opracowania. Zgodnie z zestawieniem odciągi należy wykonać z materiałów chemoodpornych (np. technologia z tworzyw sztucznych).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7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W związku z zapisem w opisie technicznym Instalacje wentylacji, klimatyzacji i ogrzewania, o zaliczeniu instalacji wentylacji do średniej klasy czystości i zalecanych okresach pomiędzy przeglądami, po czyjej stronie będzie koszt przeprowadzenia takich przeglądów oraz czy należy go ująć w cenie ofertowej.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Odp.: </w:t>
      </w:r>
      <w:r w:rsidRPr="005A122E">
        <w:rPr>
          <w:rFonts w:ascii="Verdana" w:eastAsia="Calibri" w:hAnsi="Verdana"/>
          <w:b/>
          <w:lang w:eastAsia="en-US"/>
        </w:rPr>
        <w:t xml:space="preserve">Odpowiedź na pytanie została </w:t>
      </w:r>
      <w:r>
        <w:rPr>
          <w:rFonts w:ascii="Verdana" w:eastAsia="Calibri" w:hAnsi="Verdana"/>
          <w:b/>
          <w:lang w:eastAsia="en-US"/>
        </w:rPr>
        <w:t>udzielona w „Odpowiedzi na zapytania w sprawie SIWZ 2”</w:t>
      </w:r>
      <w:r w:rsidRPr="005A122E">
        <w:rPr>
          <w:rFonts w:ascii="Verdana" w:eastAsia="Calibri" w:hAnsi="Verdana"/>
          <w:b/>
          <w:lang w:eastAsia="en-US"/>
        </w:rPr>
        <w:t xml:space="preserve"> w punkcie 4 i 5</w:t>
      </w:r>
      <w:r>
        <w:rPr>
          <w:rFonts w:ascii="Verdana" w:eastAsia="Calibri" w:hAnsi="Verdana"/>
          <w:b/>
          <w:lang w:eastAsia="en-US"/>
        </w:rPr>
        <w:t>,</w:t>
      </w:r>
      <w:r w:rsidRPr="005A122E">
        <w:rPr>
          <w:rFonts w:ascii="Verdana" w:eastAsia="Calibri" w:hAnsi="Verdana"/>
          <w:b/>
          <w:lang w:eastAsia="en-US"/>
        </w:rPr>
        <w:t xml:space="preserve"> zamieszczonym na stronie DZP.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8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odprowadzenie ścieków z pionu Pch1 odbywa się bez neutralizacji lub podczyszczania bezpośrednio do kanalizacji.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Odp.:</w:t>
      </w:r>
      <w:r w:rsidRPr="005A122E">
        <w:rPr>
          <w:rFonts w:ascii="Verdana" w:hAnsi="Verdana"/>
          <w:b/>
        </w:rPr>
        <w:t xml:space="preserve"> </w:t>
      </w:r>
      <w:r w:rsidRPr="005A122E">
        <w:rPr>
          <w:rFonts w:ascii="Verdana" w:eastAsia="Calibri" w:hAnsi="Verdana"/>
          <w:b/>
          <w:lang w:eastAsia="en-US"/>
        </w:rPr>
        <w:t>Kanalizacja z pionu pch1 odprowadzana jest do osobnej studni kanalizacyjnej z zablokowanym odpływem. Odbiorem skażonych ścieków będą zajmowały się odpowiednie służby.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9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odprowadzenie ścieków agresywnych odbywa się bez neutralizacji lub podczyszczania bezpośrednio do kanalizacji.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Odp.: Zamawiający nie przewiduje odprowadzania ścieków agresywnych. Zastosowano oddzielne wyjścia dla kanalizacji sanitarnej i technologicznej z budynku umożliwiające zmianę rozwiązań projektowych w przyszłości bez konieczności ingerencji w instalację w budynku.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10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Proszę o potwierdzenie, że izolacja </w:t>
      </w:r>
      <w:proofErr w:type="spellStart"/>
      <w:r w:rsidRPr="005A122E">
        <w:rPr>
          <w:rFonts w:ascii="Verdana" w:eastAsia="Calibri" w:hAnsi="Verdana"/>
          <w:lang w:eastAsia="en-US"/>
        </w:rPr>
        <w:t>przykanalików</w:t>
      </w:r>
      <w:proofErr w:type="spellEnd"/>
      <w:r w:rsidRPr="005A122E">
        <w:rPr>
          <w:rFonts w:ascii="Verdana" w:eastAsia="Calibri" w:hAnsi="Verdana"/>
          <w:lang w:eastAsia="en-US"/>
        </w:rPr>
        <w:t xml:space="preserve"> kanalizacyjnych mają być wykonane z maty kauczukowej.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Odp.: Należy zastosować dowolny materiał izolacyjny posiadający odpowiedni współczynnik izolacyjności oraz atesty.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11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sieć wodociągowa zasilająca hydranty wewnętrzne spełnia parametry wymagane do zasilenia hydrantów.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Zamawiający </w:t>
      </w:r>
      <w:r w:rsidRPr="005A122E">
        <w:rPr>
          <w:rFonts w:ascii="Verdana" w:eastAsia="Calibri" w:hAnsi="Verdana"/>
          <w:b/>
          <w:lang w:eastAsia="en-US"/>
        </w:rPr>
        <w:t>potwierdza, że sieć wodociągowa zasilająca hydranty wewnętrzne spełnia parametry wymagane do zasilenia hydrantów.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12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ścieki gorące nie będą schładzane przed odprowadzeniem ich do sieci kanalizacyjnej.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Zamawiający zakłada, że ścieki gorące mogą wystąpić wyłącznie w wymiennikowni i będą wówczas schładzane poprzez zastosowaną tam studnie schładzającą. 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13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przewód kanalizacyjny prowadzony pod schodami zewnętrznymi nie jest w kolizji z żadnymi elementami konstrukcyjnymi itp.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Odp.: Nie stwierdzono kolizji. Zastosowano rozwiązanie uwzględniające wykorzystanie stalowej rury ochronnej zapewniające dodatkową ochronę rurociągowi pod konstrukcją schodów.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14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Brak opisu materiału pionów kanalizacyjnych oraz niektórych poziomów na rzucie i rozwinięciu. Niepełne rozwiniecie kanalizacji – brak np. pionu PS9. Prosimy o uzupełnienie w/w informacji.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 Piony i poziomy sanitarne PVC lub PP, piony i poziomy deszczowe PEHD (wyspecyfikowano w zestawieniu materiałów).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15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Brak rozwinięcia pionów kanalizacji deszczowej grawitacyjnej. Nie określone są średnice ani materiał pionów. W opisie technicznym brak informacji na temat grawitacyjnego odprowadzenia wód deszczowych. Prosimy o uzupełnienie.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 Rysunek nr 3.16 przedstawia rozwinięcie kanalizacji deszczowej grawitacyjnej. Piony należy wykonać z tego samego materiału co poziomy czyli PEHD. Średnice zostały opisane na rzucie.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16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eastAsia="Calibri" w:hAnsi="Verdana"/>
          <w:lang w:eastAsia="en-US"/>
        </w:rPr>
        <w:t>Proszę o podanie typu wpustów deszczowych– odwodnienia grawitacyjnego, wpusty odprowadzone są do pionów PD.</w:t>
      </w:r>
      <w:r w:rsidRPr="005A122E">
        <w:rPr>
          <w:rFonts w:ascii="Verdana" w:hAnsi="Verdana"/>
        </w:rPr>
        <w:t xml:space="preserve"> 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 Należy przyjąć typy wpustów zgodne z dokumentacją projektową.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 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17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podanie typu wpustów odwadniających tarasy  przylegające do sali wykładowej 0/15 na parterze. Brak opisu wpustów, brak wymiarowania dla przewodów odprowadzających, proszę o uzupełnienie.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 Należy przyjąć przewody o średnicy 110 mm. 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Pytanie 18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hAnsi="Verdana"/>
        </w:rPr>
        <w:t>Proszę o określenie rodzaju kanalizacji deszczowej (grawitacyjna/deszczowa) dla odprowadzenia wpustów WD z 1 pietra w osiach 1/C i 1/E’.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Należy przyjąć kanalizację deszczową grawitacyjną. 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19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weryfikacje i poprawę rysunków w zakresie wpustów i przewodów odpływowych dla instalacji wymienionych powyżej ( wpusty odwadniające tarasy przy sali wykładowej na parterze + wpusty WD z 1 pietra w osiach 1/C i 1/E’). Wydaje się, że brak jest odprowadzenia dla pary wpustów.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PIĘTRO 1: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noProof/>
        </w:rPr>
        <w:pict>
          <v:shape id="_x0000_i1097" type="#_x0000_t75" style="width:378.75pt;height:91.5pt;visibility:visible;mso-wrap-style:square">
            <v:imagedata r:id="rId10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PARTER: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noProof/>
        </w:rPr>
        <w:pict>
          <v:shape id="Obraz 10" o:spid="_x0000_i1096" type="#_x0000_t75" style="width:378.75pt;height:103.5pt;visibility:visible;mso-wrap-style:square">
            <v:imagedata r:id="rId11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PIWNICA: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hAnsi="Verdana"/>
          <w:noProof/>
        </w:rPr>
        <w:pict>
          <v:shape id="Obraz 11" o:spid="_x0000_i1095" type="#_x0000_t75" style="width:378pt;height:110.25pt;visibility:visible;mso-wrap-style:square">
            <v:imagedata r:id="rId12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 Wody deszczowe z wpustów zlokalizowanych nad salą wykładową odprowadzane są rurami spustowymi na tarasy poziomu niżej skąd przechwytywane są przez kolejne wpusty deszczowe.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20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W legendzie rysunków kanalizacji znajdują się dwa rodzaje wpustów deszczowych. „WD – wpust kanalizacji deszczowej”, i „wpust deszczowy”. Proszę o podanie typów wpustów gdyż jako WD opisane są również wpusty kanalizacji deszczowej podciśnieniowej.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Symbol graficzny przypisany do wpust kanalizacji deszczowej wykorzystywany jest pod wpustem na poziomie znajdującym się poniżej lokalizacji wpustu. Natomiast „wpust deszczowy” i jego symbol stosowane są zarówno do wpustów grawitacyjnych jak i wpustów podciśnieniowych, występujących jedynie na poziomie dachu co wynika z rozwinięć.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21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Brak odprowadzenia ścieków deszczowych na poziomie piwnic z pionu PD jak poniżej.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PIĘTRO 1: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noProof/>
        </w:rPr>
        <w:pict>
          <v:shape id="Obraz 12" o:spid="_x0000_i1094" type="#_x0000_t75" style="width:351pt;height:127.5pt;visibility:visible;mso-wrap-style:square">
            <v:imagedata r:id="rId13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PARTER: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noProof/>
        </w:rPr>
        <w:pict>
          <v:shape id="Obraz 13" o:spid="_x0000_i1093" type="#_x0000_t75" style="width:319.5pt;height:129pt;visibility:visible;mso-wrap-style:square">
            <v:imagedata r:id="rId14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PIWNICA: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hAnsi="Verdana"/>
          <w:noProof/>
        </w:rPr>
        <w:pict>
          <v:shape id="Obraz 14" o:spid="_x0000_i1092" type="#_x0000_t75" style="width:324.75pt;height:114pt;visibility:visible;mso-wrap-style:square">
            <v:imagedata r:id="rId15" o:title=""/>
          </v:shape>
        </w:pict>
      </w:r>
      <w:r w:rsidRPr="005A122E">
        <w:rPr>
          <w:rFonts w:ascii="Verdana" w:hAnsi="Verdana"/>
        </w:rPr>
        <w:t xml:space="preserve"> 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 Wody deszczowe z pionu należy podłączyć do nowoprojektowanego </w:t>
      </w:r>
      <w:proofErr w:type="spellStart"/>
      <w:r w:rsidRPr="005A122E">
        <w:rPr>
          <w:rFonts w:ascii="Verdana" w:hAnsi="Verdana"/>
          <w:b/>
        </w:rPr>
        <w:t>przykanalika</w:t>
      </w:r>
      <w:proofErr w:type="spellEnd"/>
      <w:r w:rsidRPr="005A122E">
        <w:rPr>
          <w:rFonts w:ascii="Verdana" w:hAnsi="Verdana"/>
          <w:b/>
        </w:rPr>
        <w:t xml:space="preserve"> z istniejącego budynku.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hAnsi="Verdana"/>
        </w:rPr>
        <w:t xml:space="preserve"> </w:t>
      </w: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22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W projekcie Instalacja wentylacji, klimatyzacji na rzutach kondygnacji występują rozbieżności pomiędzy opisem/ legendą o rzeczywistym wymiarem, np. tłumiki na kondygnacji +3-jak poniżej, wg opisu długość tłumika wynosi 1000mm, wg rysunku-1500mm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hAnsi="Verdana"/>
          <w:noProof/>
        </w:rPr>
        <w:pict>
          <v:shape id="Obraz 18" o:spid="_x0000_i1090" type="#_x0000_t75" style="width:228pt;height:144.75pt;visibility:visible;mso-wrap-style:square">
            <v:imagedata r:id="rId16" o:title=""/>
          </v:shape>
        </w:pic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Poprawna długość tłumika za regulatorem jest na rzucie oraz w zestawieniu materiałów tj. 1500mm. </w:t>
      </w:r>
    </w:p>
    <w:p w:rsidR="005A122E" w:rsidRPr="005A122E" w:rsidRDefault="005A122E" w:rsidP="005A122E">
      <w:pPr>
        <w:ind w:left="34"/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hAnsi="Verdana"/>
        </w:rPr>
        <w:t xml:space="preserve">Analogiczna sytuacja dotyczy również przewodów wentylacyjnych </w:t>
      </w:r>
      <w:proofErr w:type="spellStart"/>
      <w:r w:rsidRPr="005A122E">
        <w:rPr>
          <w:rFonts w:ascii="Verdana" w:hAnsi="Verdana"/>
        </w:rPr>
        <w:t>spiro</w:t>
      </w:r>
      <w:proofErr w:type="spellEnd"/>
      <w:r w:rsidRPr="005A122E">
        <w:rPr>
          <w:rFonts w:ascii="Verdana" w:hAnsi="Verdana"/>
        </w:rPr>
        <w:t xml:space="preserve"> oraz anemostatów (typ S2). Prosimy o korektę bądź informację – który wymiar należy traktować priorytetowo i przyjąć do oferty.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W zależności od wielkości nawiewnika jest odpowiedni przyłącz np. dla S2 600/24 przyłącz  Ø250 (ujęto w zastawianiu materiałów).  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23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Proszę o potwierdzenie, że studnia S6 (kanalizacja deszczowa) ma odpowiednią pojemność jako studnia rozprężna kanalizacji deszczowej.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softHyphen/>
      </w:r>
      <w:r w:rsidRPr="005A122E">
        <w:rPr>
          <w:rFonts w:ascii="Verdana" w:hAnsi="Verdana"/>
          <w:b/>
        </w:rPr>
        <w:softHyphen/>
      </w:r>
      <w:r w:rsidR="004705B5">
        <w:rPr>
          <w:rFonts w:ascii="Verdana" w:hAnsi="Verdana"/>
          <w:b/>
        </w:rPr>
        <w:t>Odp. Studnia posiada odpowiednią</w:t>
      </w:r>
      <w:bookmarkStart w:id="0" w:name="_GoBack"/>
      <w:bookmarkEnd w:id="0"/>
      <w:r w:rsidRPr="005A122E">
        <w:rPr>
          <w:rFonts w:ascii="Verdana" w:hAnsi="Verdana"/>
          <w:b/>
        </w:rPr>
        <w:t xml:space="preserve"> pojemność.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24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eastAsia="Calibri" w:hAnsi="Verdana"/>
          <w:lang w:eastAsia="en-US"/>
        </w:rPr>
        <w:t>Proszę o potwierdzenie, że ciąg kanalizacji deszczowej S6-S5 nie jest w kolizji z elementami konstrukcji budynku itp.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Odp.: Z analizy dostępnych materiałów kolizji nie stwierdzono.</w:t>
      </w:r>
    </w:p>
    <w:p w:rsidR="005A122E" w:rsidRPr="005A122E" w:rsidRDefault="005A122E" w:rsidP="005A122E">
      <w:pPr>
        <w:jc w:val="both"/>
        <w:rPr>
          <w:rFonts w:ascii="Verdana" w:hAnsi="Verdana"/>
        </w:rPr>
      </w:pP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Pytanie 25</w:t>
      </w:r>
    </w:p>
    <w:p w:rsidR="005A122E" w:rsidRPr="005A122E" w:rsidRDefault="005A122E" w:rsidP="005A122E">
      <w:pPr>
        <w:jc w:val="both"/>
        <w:rPr>
          <w:rFonts w:ascii="Verdana" w:hAnsi="Verdana"/>
        </w:rPr>
      </w:pPr>
      <w:r w:rsidRPr="005A122E">
        <w:rPr>
          <w:rFonts w:ascii="Verdana" w:hAnsi="Verdana"/>
        </w:rPr>
        <w:t>Brak rozwinięcia wody hydrantowej – prosimy o uzupełnienie średnic dla pionów i niektórych poziomów wody hydrantowej.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>Odp. Pion instalacji hydrantowej i odejścia od pionu na kondygnacja należy wykonać o średnicy DN65.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26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 xml:space="preserve">Zgodnie z opisem technicznym piony i rozprowadzenia w garażu ciepłej wody oraz cyrkulacji, wykonane mają być ze stali nierdzewnej. Z rysunków wynika jednak że rozprowadzenia na wszystkich piętrach również są ze stali nierdzewnej. Które rozwiązanie należy przyjąć. Jeśli ma być to rozwiązanie zgodnie z opisem technicznym to z jakiego materiału mają być wykonane rozprowadzenia </w:t>
      </w:r>
      <w:proofErr w:type="spellStart"/>
      <w:r w:rsidRPr="005A122E">
        <w:rPr>
          <w:rFonts w:ascii="Verdana" w:eastAsia="Calibri" w:hAnsi="Verdana"/>
          <w:lang w:eastAsia="en-US"/>
        </w:rPr>
        <w:t>cwu</w:t>
      </w:r>
      <w:proofErr w:type="spellEnd"/>
      <w:r w:rsidRPr="005A122E">
        <w:rPr>
          <w:rFonts w:ascii="Verdana" w:eastAsia="Calibri" w:hAnsi="Verdana"/>
          <w:lang w:eastAsia="en-US"/>
        </w:rPr>
        <w:t xml:space="preserve"> i </w:t>
      </w:r>
      <w:proofErr w:type="spellStart"/>
      <w:r w:rsidRPr="005A122E">
        <w:rPr>
          <w:rFonts w:ascii="Verdana" w:eastAsia="Calibri" w:hAnsi="Verdana"/>
          <w:lang w:eastAsia="en-US"/>
        </w:rPr>
        <w:t>ccw</w:t>
      </w:r>
      <w:proofErr w:type="spellEnd"/>
      <w:r w:rsidRPr="005A122E">
        <w:rPr>
          <w:rFonts w:ascii="Verdana" w:eastAsia="Calibri" w:hAnsi="Verdana"/>
          <w:lang w:eastAsia="en-US"/>
        </w:rPr>
        <w:t xml:space="preserve"> na kondygnacjach nadziemnych.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 Woda ciepła i cyrkulacyjna prowadzona podstropowo na wszystkich poziomach powinna być wykonana z rurociągów ze stali nierdzewnej. Rurociągi prowadzone w ściankach i posadzkach należy wykonać z rur tworzywowych. 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</w:p>
    <w:p w:rsidR="005A122E" w:rsidRPr="005A122E" w:rsidRDefault="005A122E" w:rsidP="005A122E">
      <w:pPr>
        <w:jc w:val="both"/>
        <w:rPr>
          <w:rFonts w:ascii="Verdana" w:eastAsia="Calibri" w:hAnsi="Verdana"/>
          <w:b/>
          <w:lang w:eastAsia="en-US"/>
        </w:rPr>
      </w:pPr>
      <w:r w:rsidRPr="005A122E">
        <w:rPr>
          <w:rFonts w:ascii="Verdana" w:eastAsia="Calibri" w:hAnsi="Verdana"/>
          <w:b/>
          <w:lang w:eastAsia="en-US"/>
        </w:rPr>
        <w:t>Pytanie 27</w:t>
      </w:r>
    </w:p>
    <w:p w:rsidR="005A122E" w:rsidRPr="005A122E" w:rsidRDefault="005A122E" w:rsidP="005A122E">
      <w:pPr>
        <w:jc w:val="both"/>
        <w:rPr>
          <w:rFonts w:ascii="Verdana" w:eastAsia="Calibri" w:hAnsi="Verdana"/>
          <w:lang w:eastAsia="en-US"/>
        </w:rPr>
      </w:pPr>
      <w:r w:rsidRPr="005A122E">
        <w:rPr>
          <w:rFonts w:ascii="Verdana" w:eastAsia="Calibri" w:hAnsi="Verdana"/>
          <w:lang w:eastAsia="en-US"/>
        </w:rPr>
        <w:t>Czy Natryski bezpieczeństwa i oczomyjki znajdują się w zakresie przetargu? Jeśli tak to proszę o podanie typu lub parametrów.</w:t>
      </w:r>
    </w:p>
    <w:p w:rsidR="005A122E" w:rsidRPr="005A122E" w:rsidRDefault="005A122E" w:rsidP="005A122E">
      <w:pPr>
        <w:jc w:val="both"/>
        <w:rPr>
          <w:rFonts w:ascii="Verdana" w:hAnsi="Verdana"/>
          <w:b/>
        </w:rPr>
      </w:pPr>
      <w:r w:rsidRPr="005A122E">
        <w:rPr>
          <w:rFonts w:ascii="Verdana" w:hAnsi="Verdana"/>
          <w:b/>
        </w:rPr>
        <w:t xml:space="preserve">Odp.: Oferta powinna uwzględniać prysznice bezpieczeństwa, oczomyjki, zgodne z projektem. </w:t>
      </w:r>
      <w:r w:rsidRPr="005A122E">
        <w:rPr>
          <w:rFonts w:ascii="Verdana" w:hAnsi="Verdana" w:cs="Arial"/>
          <w:b/>
        </w:rPr>
        <w:t xml:space="preserve">Parametry urządzeń opisano w opisie technicznym – natrysk bezpieczeństwa i oczomyjka pkt 18.38. </w:t>
      </w:r>
      <w:r w:rsidRPr="005A122E">
        <w:rPr>
          <w:rFonts w:ascii="Verdana" w:hAnsi="Verdana"/>
          <w:b/>
        </w:rPr>
        <w:t>oraz w zestawieniu el. katalogowych rys. nr 20.</w:t>
      </w:r>
    </w:p>
    <w:p w:rsidR="005A122E" w:rsidRPr="005A122E" w:rsidRDefault="005A122E" w:rsidP="005A122E">
      <w:pPr>
        <w:jc w:val="both"/>
        <w:rPr>
          <w:rFonts w:ascii="Verdana" w:hAnsi="Verdana"/>
          <w:sz w:val="16"/>
          <w:szCs w:val="16"/>
        </w:rPr>
      </w:pPr>
    </w:p>
    <w:p w:rsidR="005A122E" w:rsidRPr="005A122E" w:rsidRDefault="005A122E" w:rsidP="005A122E">
      <w:pPr>
        <w:jc w:val="both"/>
        <w:rPr>
          <w:rFonts w:ascii="Verdana" w:hAnsi="Verdana"/>
          <w:sz w:val="16"/>
          <w:szCs w:val="16"/>
        </w:rPr>
      </w:pPr>
    </w:p>
    <w:p w:rsidR="005A122E" w:rsidRPr="005A122E" w:rsidRDefault="005A122E" w:rsidP="005A122E">
      <w:pPr>
        <w:jc w:val="both"/>
        <w:rPr>
          <w:rFonts w:ascii="Verdana" w:hAnsi="Verdana"/>
          <w:sz w:val="16"/>
          <w:szCs w:val="16"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9" w:rsidRDefault="00D64EE9">
      <w:r>
        <w:separator/>
      </w:r>
    </w:p>
  </w:endnote>
  <w:endnote w:type="continuationSeparator" w:id="0">
    <w:p w:rsidR="00D64EE9" w:rsidRDefault="00D6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705B5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9" w:rsidRDefault="00D64EE9">
      <w:r>
        <w:separator/>
      </w:r>
    </w:p>
  </w:footnote>
  <w:footnote w:type="continuationSeparator" w:id="0">
    <w:p w:rsidR="00D64EE9" w:rsidRDefault="00D6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23" w:rsidRDefault="00B24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5A122E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705B5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5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A16"/>
    <w:multiLevelType w:val="hybridMultilevel"/>
    <w:tmpl w:val="AE244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E9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05B5"/>
    <w:rsid w:val="00476899"/>
    <w:rsid w:val="00542F2E"/>
    <w:rsid w:val="005A12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32E86"/>
    <w:rsid w:val="00A45032"/>
    <w:rsid w:val="00B24823"/>
    <w:rsid w:val="00C529DB"/>
    <w:rsid w:val="00C914F4"/>
    <w:rsid w:val="00CA338E"/>
    <w:rsid w:val="00CB1285"/>
    <w:rsid w:val="00D108D9"/>
    <w:rsid w:val="00D64EE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9</Pages>
  <Words>1634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2019-05-22T04:31:00Z</cp:lastPrinted>
  <dcterms:created xsi:type="dcterms:W3CDTF">2019-05-13T07:47:00Z</dcterms:created>
  <dcterms:modified xsi:type="dcterms:W3CDTF">2019-05-22T04:31:00Z</dcterms:modified>
</cp:coreProperties>
</file>