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F7F09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753F8" w:rsidRPr="009E2F54">
        <w:rPr>
          <w:rFonts w:ascii="Verdana" w:hAnsi="Verdana"/>
          <w:sz w:val="16"/>
          <w:szCs w:val="16"/>
        </w:rPr>
        <w:t>Kraków</w:t>
      </w:r>
      <w:r w:rsidR="00DF0345" w:rsidRPr="009E2F54">
        <w:rPr>
          <w:rFonts w:ascii="Verdana" w:hAnsi="Verdana"/>
          <w:sz w:val="16"/>
          <w:szCs w:val="16"/>
        </w:rPr>
        <w:t>,</w:t>
      </w:r>
      <w:r w:rsidRPr="009E2F54">
        <w:rPr>
          <w:rFonts w:ascii="Verdana" w:hAnsi="Verdana"/>
          <w:sz w:val="16"/>
          <w:szCs w:val="16"/>
        </w:rPr>
        <w:t xml:space="preserve"> </w:t>
      </w:r>
      <w:r w:rsidR="0029067F" w:rsidRPr="009E2F54">
        <w:rPr>
          <w:rFonts w:ascii="Verdana" w:hAnsi="Verdana"/>
          <w:sz w:val="16"/>
          <w:szCs w:val="16"/>
        </w:rPr>
        <w:t>2019-05-</w:t>
      </w:r>
      <w:r w:rsidR="00FF7F09">
        <w:rPr>
          <w:rFonts w:ascii="Verdana" w:hAnsi="Verdana"/>
          <w:sz w:val="16"/>
          <w:szCs w:val="16"/>
        </w:rPr>
        <w:t>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96FE5">
        <w:rPr>
          <w:rFonts w:ascii="Verdana" w:hAnsi="Verdana"/>
          <w:sz w:val="20"/>
        </w:rPr>
        <w:t xml:space="preserve"> 34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9E2F54" w:rsidRDefault="0021206B" w:rsidP="009E2F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E2F54">
        <w:rPr>
          <w:rFonts w:ascii="Verdana" w:hAnsi="Verdana"/>
          <w:sz w:val="20"/>
        </w:rPr>
        <w:t xml:space="preserve">Uprzejmie informujemy, że w dniu </w:t>
      </w:r>
      <w:r w:rsidR="004753F8" w:rsidRPr="009E2F54">
        <w:rPr>
          <w:rFonts w:ascii="Verdana" w:hAnsi="Verdana"/>
          <w:b/>
          <w:sz w:val="20"/>
        </w:rPr>
        <w:t>2019-05-13</w:t>
      </w:r>
      <w:r w:rsidRPr="009E2F54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9E2F5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E2F54">
        <w:rPr>
          <w:rFonts w:ascii="Verdana" w:hAnsi="Verdana"/>
          <w:sz w:val="20"/>
        </w:rPr>
        <w:t>(</w:t>
      </w:r>
      <w:r w:rsidR="002405E1" w:rsidRPr="009E2F54">
        <w:rPr>
          <w:rFonts w:ascii="Verdana" w:hAnsi="Verdana"/>
          <w:sz w:val="20"/>
        </w:rPr>
        <w:t>Dz. U. z  201</w:t>
      </w:r>
      <w:r w:rsidR="00D90657" w:rsidRPr="009E2F54">
        <w:rPr>
          <w:rFonts w:ascii="Verdana" w:hAnsi="Verdana"/>
          <w:sz w:val="20"/>
        </w:rPr>
        <w:t>8</w:t>
      </w:r>
      <w:r w:rsidR="00775A72" w:rsidRPr="009E2F54">
        <w:rPr>
          <w:rFonts w:ascii="Verdana" w:hAnsi="Verdana"/>
          <w:sz w:val="20"/>
        </w:rPr>
        <w:t xml:space="preserve"> r. poz. </w:t>
      </w:r>
      <w:r w:rsidR="00D90657" w:rsidRPr="009E2F54">
        <w:rPr>
          <w:rFonts w:ascii="Verdana" w:hAnsi="Verdana"/>
          <w:sz w:val="20"/>
        </w:rPr>
        <w:t>1986 ze zm.</w:t>
      </w:r>
      <w:r w:rsidR="0083033C" w:rsidRPr="009E2F54">
        <w:rPr>
          <w:rFonts w:ascii="Verdana" w:hAnsi="Verdana"/>
          <w:sz w:val="20"/>
        </w:rPr>
        <w:t xml:space="preserve">) </w:t>
      </w:r>
      <w:r w:rsidRPr="009E2F54">
        <w:rPr>
          <w:rFonts w:ascii="Verdana" w:hAnsi="Verdana"/>
          <w:sz w:val="20"/>
        </w:rPr>
        <w:t>w trybie „</w:t>
      </w:r>
      <w:r w:rsidR="004753F8" w:rsidRPr="009E2F54">
        <w:rPr>
          <w:rFonts w:ascii="Verdana" w:hAnsi="Verdana"/>
          <w:b/>
          <w:sz w:val="20"/>
        </w:rPr>
        <w:t>przetarg nieograniczony</w:t>
      </w:r>
      <w:r w:rsidRPr="009E2F54">
        <w:rPr>
          <w:rFonts w:ascii="Verdana" w:hAnsi="Verdana"/>
          <w:b/>
          <w:sz w:val="20"/>
        </w:rPr>
        <w:t>”</w:t>
      </w:r>
      <w:r w:rsidR="00E96FE5" w:rsidRPr="009E2F54">
        <w:rPr>
          <w:rFonts w:ascii="Verdana" w:hAnsi="Verdana"/>
          <w:sz w:val="20"/>
        </w:rPr>
        <w:t xml:space="preserve">, </w:t>
      </w:r>
      <w:r w:rsidR="00476899" w:rsidRPr="009E2F54">
        <w:rPr>
          <w:rFonts w:ascii="Verdana" w:hAnsi="Verdana"/>
          <w:sz w:val="20"/>
        </w:rPr>
        <w:t xml:space="preserve">którego przedmiotem jest </w:t>
      </w:r>
      <w:r w:rsidR="004753F8" w:rsidRPr="009E2F54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9E2F54">
        <w:rPr>
          <w:rFonts w:ascii="Verdana" w:hAnsi="Verdana"/>
          <w:b/>
          <w:sz w:val="20"/>
        </w:rPr>
        <w:t>.</w:t>
      </w:r>
    </w:p>
    <w:p w:rsidR="0021206B" w:rsidRPr="009E2F54" w:rsidRDefault="0021206B" w:rsidP="009E2F5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9E2F54" w:rsidRDefault="0021206B" w:rsidP="009E2F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E2F54">
        <w:rPr>
          <w:rFonts w:ascii="Verdana" w:hAnsi="Verdana"/>
          <w:b/>
          <w:sz w:val="20"/>
          <w:u w:val="single"/>
        </w:rPr>
        <w:t>Treść zapyta</w:t>
      </w:r>
      <w:r w:rsidR="009E2F54" w:rsidRPr="009E2F54">
        <w:rPr>
          <w:rFonts w:ascii="Verdana" w:hAnsi="Verdana"/>
          <w:b/>
          <w:sz w:val="20"/>
          <w:u w:val="single"/>
        </w:rPr>
        <w:t>ń i odpowiedzi</w:t>
      </w:r>
      <w:r w:rsidRPr="009E2F54">
        <w:rPr>
          <w:rFonts w:ascii="Verdana" w:hAnsi="Verdana"/>
          <w:b/>
          <w:sz w:val="20"/>
          <w:u w:val="single"/>
        </w:rPr>
        <w:t xml:space="preserve"> brzmi następująco:</w:t>
      </w: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1</w:t>
      </w:r>
    </w:p>
    <w:p w:rsidR="00FF7F09" w:rsidRPr="009E2F54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9E2F54">
        <w:rPr>
          <w:rFonts w:ascii="Verdana" w:eastAsia="Calibri" w:hAnsi="Verdana"/>
          <w:lang w:eastAsia="en-US"/>
        </w:rPr>
        <w:t>Prosimy o informację, jak jest wykończona od spodu płyta balkonu na poziomie +3 (osie 7-8/D), oraz czy i jakie warstwy znajdują się pod gresem na tym balkonie? Jak należy wykończyć krawędź zewnętrzną tego balkonu?</w:t>
      </w:r>
    </w:p>
    <w:p w:rsidR="00FF7F09" w:rsidRPr="009E2F54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Posadzka balkonu rys. A.1.5, warstwy balkonowe pokazano na rys nr D/2.3, od góry płyty żelbetowej  - warstwy gr.10-8cm w spadku poprzecznym 0.5% - gres na kleju 1cm, </w:t>
      </w:r>
      <w:proofErr w:type="spellStart"/>
      <w:r w:rsidRPr="009E2F54">
        <w:rPr>
          <w:rFonts w:ascii="Verdana" w:eastAsia="Calibri" w:hAnsi="Verdana"/>
          <w:b/>
          <w:lang w:eastAsia="en-US"/>
        </w:rPr>
        <w:t>wyl</w:t>
      </w:r>
      <w:proofErr w:type="spellEnd"/>
      <w:r w:rsidRPr="009E2F54">
        <w:rPr>
          <w:rFonts w:ascii="Verdana" w:eastAsia="Calibri" w:hAnsi="Verdana"/>
          <w:b/>
          <w:lang w:eastAsia="en-US"/>
        </w:rPr>
        <w:t xml:space="preserve">. cement. </w:t>
      </w:r>
      <w:proofErr w:type="spellStart"/>
      <w:r w:rsidRPr="009E2F54">
        <w:rPr>
          <w:rFonts w:ascii="Verdana" w:eastAsia="Calibri" w:hAnsi="Verdana"/>
          <w:b/>
          <w:lang w:eastAsia="en-US"/>
        </w:rPr>
        <w:t>zbroj</w:t>
      </w:r>
      <w:proofErr w:type="spellEnd"/>
      <w:r w:rsidRPr="009E2F54">
        <w:rPr>
          <w:rFonts w:ascii="Verdana" w:eastAsia="Calibri" w:hAnsi="Verdana"/>
          <w:b/>
          <w:lang w:eastAsia="en-US"/>
        </w:rPr>
        <w:t>. siatką 4 - 5cm, styropian Fs20 3cm, od spodu płyty warstwy gr. 5cm – styropian 5cm + tynk cienkowarstwowy na siatce, czoło balkonu obróbka blacharska dwudzielna zgodnie z rys elewacji.</w:t>
      </w:r>
    </w:p>
    <w:p w:rsidR="00E96FE5" w:rsidRPr="009E2F54" w:rsidRDefault="00E96FE5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2</w:t>
      </w:r>
      <w:r w:rsidR="00B93993" w:rsidRPr="009E2F54">
        <w:rPr>
          <w:rFonts w:ascii="Verdana" w:eastAsia="Calibri" w:hAnsi="Verdana"/>
          <w:b/>
          <w:lang w:eastAsia="en-US"/>
        </w:rPr>
        <w:t>,</w:t>
      </w:r>
      <w:r w:rsidR="0029067F" w:rsidRPr="009E2F54">
        <w:rPr>
          <w:rFonts w:ascii="Verdana" w:eastAsia="Calibri" w:hAnsi="Verdana"/>
          <w:b/>
          <w:lang w:eastAsia="en-US"/>
        </w:rPr>
        <w:t xml:space="preserve"> </w:t>
      </w:r>
      <w:r w:rsidRPr="009E2F54">
        <w:rPr>
          <w:rFonts w:ascii="Verdana" w:hAnsi="Verdana"/>
          <w:b/>
        </w:rPr>
        <w:t xml:space="preserve">Dotyczy </w:t>
      </w:r>
      <w:r w:rsidRPr="009E2F54">
        <w:rPr>
          <w:rFonts w:ascii="Verdana" w:hAnsi="Verdana" w:cs="Sylfaen"/>
          <w:b/>
        </w:rPr>
        <w:t>§</w:t>
      </w:r>
      <w:r w:rsidRPr="009E2F54">
        <w:rPr>
          <w:rFonts w:ascii="Verdana" w:hAnsi="Verdana"/>
          <w:b/>
        </w:rPr>
        <w:t xml:space="preserve"> 2 ust. 2 </w:t>
      </w:r>
    </w:p>
    <w:p w:rsidR="00E96FE5" w:rsidRPr="009E2F54" w:rsidRDefault="00E96FE5" w:rsidP="009E2F54">
      <w:pPr>
        <w:jc w:val="both"/>
        <w:rPr>
          <w:rFonts w:ascii="Verdana" w:hAnsi="Verdana"/>
          <w:i/>
        </w:rPr>
      </w:pPr>
      <w:r w:rsidRPr="009E2F54">
        <w:rPr>
          <w:rFonts w:ascii="Verdana" w:hAnsi="Verdana"/>
        </w:rPr>
        <w:t>Wnosimy o nadanie ostatniemu zdaniu następującej treści</w:t>
      </w:r>
      <w:r w:rsidRPr="009E2F54">
        <w:rPr>
          <w:rFonts w:ascii="Verdana" w:hAnsi="Verdana"/>
          <w:b/>
        </w:rPr>
        <w:t>: „</w:t>
      </w:r>
      <w:r w:rsidRPr="009E2F54">
        <w:rPr>
          <w:rFonts w:ascii="Verdana" w:hAnsi="Verdana" w:cs="Verdana"/>
          <w:i/>
        </w:rPr>
        <w:t xml:space="preserve">Zastrzeżenia Wykonawcy, które mógł on zgłosić działając z należytą starannością ocenianą z uwzględnieniem zawodowego charakteru działalności Wykonawcy w zakresie wykonywania robót budowlanych, dotyczące terenu budowy, prawidłowości i kompletności dokumentacji projektowej otrzymanej od Zamawiającego zgłoszone po terminie zawarcia Umowy nie mogą stanowić podstawy do dochodzenia jakichkolwiek roszczeń od Zamawiającego oraz </w:t>
      </w:r>
      <w:r w:rsidRPr="009E2F54">
        <w:rPr>
          <w:rFonts w:ascii="Verdana" w:hAnsi="Verdana"/>
          <w:i/>
        </w:rPr>
        <w:t>wnioskowania przez Wykonawcę o przesunięcie terminu realizacji Umowy, z zastrzeżeniem §17 ust. 3 pkt 2)</w:t>
      </w:r>
    </w:p>
    <w:p w:rsidR="00E96FE5" w:rsidRPr="009E2F54" w:rsidRDefault="00E96FE5" w:rsidP="009E2F54">
      <w:pPr>
        <w:jc w:val="both"/>
        <w:rPr>
          <w:rFonts w:ascii="Verdana" w:hAnsi="Verdana"/>
          <w:b/>
        </w:rPr>
      </w:pPr>
      <w:r w:rsidRPr="009E2F54">
        <w:rPr>
          <w:rFonts w:ascii="Verdana" w:hAnsi="Verdana"/>
        </w:rPr>
        <w:lastRenderedPageBreak/>
        <w:t>Obecna treść postanowienia w sposób niezasadny i niezgodny z istotą umowy o roboty budowlane (w formule „buduj”) przerzuca na Wykonawcę odpowiedzialność za wykonanie podstawowych obowiązków Zamawiającego (przedłożenie wolnego od wad projektu, udostępnienie nadającego się do prowadzenia robót placu budowy).</w:t>
      </w:r>
      <w:r w:rsidRPr="009E2F54">
        <w:rPr>
          <w:rFonts w:ascii="Verdana" w:hAnsi="Verdana"/>
          <w:b/>
        </w:rPr>
        <w:t xml:space="preserve"> </w:t>
      </w:r>
    </w:p>
    <w:p w:rsidR="00E96FE5" w:rsidRPr="009E2F54" w:rsidRDefault="00FF7F09" w:rsidP="009E2F54">
      <w:pPr>
        <w:jc w:val="both"/>
        <w:rPr>
          <w:rFonts w:ascii="Verdana" w:hAnsi="Verdana"/>
          <w:b/>
        </w:rPr>
      </w:pPr>
      <w:r w:rsidRPr="009E2F54">
        <w:rPr>
          <w:rFonts w:ascii="Verdana" w:hAnsi="Verdana"/>
          <w:b/>
        </w:rPr>
        <w:t>Odp.: Odpowiedzi udzielono w „</w:t>
      </w:r>
      <w:r w:rsidR="0029067F" w:rsidRPr="009E2F54">
        <w:rPr>
          <w:rFonts w:ascii="Verdana" w:hAnsi="Verdana"/>
          <w:b/>
        </w:rPr>
        <w:t>Odpowiedzi na zapytania w sprawie SIWZ 9, Odp.1.</w:t>
      </w:r>
    </w:p>
    <w:p w:rsidR="00BA586E" w:rsidRPr="009E2F54" w:rsidRDefault="00BA586E" w:rsidP="009E2F54">
      <w:pPr>
        <w:jc w:val="both"/>
        <w:rPr>
          <w:rFonts w:ascii="Verdana" w:hAnsi="Verdana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3</w:t>
      </w:r>
      <w:r w:rsidR="00B93993" w:rsidRPr="009E2F54">
        <w:rPr>
          <w:rFonts w:ascii="Verdana" w:eastAsia="Calibri" w:hAnsi="Verdana"/>
          <w:b/>
          <w:lang w:eastAsia="en-US"/>
        </w:rPr>
        <w:t>,</w:t>
      </w:r>
      <w:r w:rsidR="0029067F" w:rsidRPr="009E2F54">
        <w:rPr>
          <w:rFonts w:ascii="Verdana" w:eastAsia="Calibri" w:hAnsi="Verdana"/>
          <w:b/>
          <w:lang w:eastAsia="en-US"/>
        </w:rPr>
        <w:t xml:space="preserve"> </w:t>
      </w:r>
      <w:r w:rsidRPr="009E2F54">
        <w:rPr>
          <w:rFonts w:ascii="Verdana" w:hAnsi="Verdana"/>
          <w:b/>
        </w:rPr>
        <w:t>Dotyczy §3 ust. 1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o określenie terminu wykonania umowy liczbą miesięcy liczoną od dnia przekazania wykonawcy terenu budowy. Określenie tego terminu konkretną datą, może spowodować szereg problemów dla obu stron umowy (włącznie w niemożliwością świadczenia) w razie opóźnienia terminu zawarcia umowy spowodowanego np. przewłoką postępowania o udzielenie zamówienia publicznego.</w:t>
      </w:r>
    </w:p>
    <w:p w:rsidR="00E96FE5" w:rsidRPr="009E2F54" w:rsidRDefault="0029067F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Odpowiedzi udzielono w Odpowiedzi na zapytania </w:t>
      </w:r>
      <w:r w:rsidR="00B93993" w:rsidRPr="009E2F54">
        <w:rPr>
          <w:rFonts w:ascii="Verdana" w:eastAsia="Calibri" w:hAnsi="Verdana"/>
          <w:b/>
          <w:lang w:eastAsia="en-US"/>
        </w:rPr>
        <w:t xml:space="preserve">w sprawie </w:t>
      </w:r>
      <w:r w:rsidRPr="009E2F54">
        <w:rPr>
          <w:rFonts w:ascii="Verdana" w:eastAsia="Calibri" w:hAnsi="Verdana"/>
          <w:b/>
          <w:lang w:eastAsia="en-US"/>
        </w:rPr>
        <w:t>SIWZ 18, Odp. 3 oraz zmianą SIWZ 2</w:t>
      </w:r>
      <w:r w:rsidR="00B93993" w:rsidRPr="009E2F54">
        <w:rPr>
          <w:rFonts w:ascii="Verdana" w:eastAsia="Calibri" w:hAnsi="Verdana"/>
          <w:b/>
          <w:lang w:eastAsia="en-US"/>
        </w:rPr>
        <w:t xml:space="preserve"> i ogłoszeniem o zmianie ogłoszenia 2</w:t>
      </w:r>
      <w:r w:rsidRPr="009E2F54">
        <w:rPr>
          <w:rFonts w:ascii="Verdana" w:eastAsia="Calibri" w:hAnsi="Verdana"/>
          <w:b/>
          <w:lang w:eastAsia="en-US"/>
        </w:rPr>
        <w:t xml:space="preserve">. 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4</w:t>
      </w:r>
      <w:r w:rsidR="00B93993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 § 6 ust. 4 pkt 4</w:t>
      </w:r>
    </w:p>
    <w:p w:rsidR="00E96FE5" w:rsidRPr="009E2F54" w:rsidRDefault="00E96FE5" w:rsidP="009E2F54">
      <w:pPr>
        <w:jc w:val="both"/>
        <w:rPr>
          <w:rFonts w:ascii="Verdana" w:hAnsi="Verdana" w:cs="TT2E68o00"/>
          <w:i/>
        </w:rPr>
      </w:pPr>
      <w:r w:rsidRPr="009E2F54">
        <w:rPr>
          <w:rFonts w:ascii="Verdana" w:hAnsi="Verdana"/>
        </w:rPr>
        <w:t>Wnosimy o zmianę treści przedmiotowego postanowienia, poprzez nadanie mu następującego brzmienia (podkreślono zmieniony fragment) – art. 143b ust. 2 prawa zamówień publicznych dopuszcza termin 30-dniowy: „</w:t>
      </w:r>
      <w:r w:rsidRPr="009E2F54">
        <w:rPr>
          <w:rFonts w:ascii="Verdana" w:hAnsi="Verdana" w:cs="TT2E68o00"/>
          <w:i/>
        </w:rPr>
        <w:t>termin zapłaty wynagrodzenia podwykonawcy nie może być dłuższy niż 28 dni od daty otrzymania faktury przez Wykonawcę ze względu na konieczność przedłożenia przez Wykonawcę Zamawiającemu dokumentu określonego w ust. 21”</w:t>
      </w:r>
    </w:p>
    <w:p w:rsidR="00BA586E" w:rsidRPr="009E2F54" w:rsidRDefault="00B93993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</w:t>
      </w:r>
      <w:r w:rsidR="008535F9"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="008535F9"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5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 w:cs="TT2E68o00"/>
          <w:b/>
        </w:rPr>
        <w:t>Dotyczy § 6 ust. 9 pkt 4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 w:cs="TT2E68o00"/>
        </w:rPr>
        <w:t xml:space="preserve">Wnosimy o nadanie temu punktowi brzmienia: </w:t>
      </w:r>
      <w:r w:rsidRPr="009E2F54">
        <w:rPr>
          <w:rFonts w:ascii="Verdana" w:hAnsi="Verdana" w:cs="TT2E68o00"/>
          <w:i/>
        </w:rPr>
        <w:t>„</w:t>
      </w:r>
      <w:r w:rsidRPr="009E2F54">
        <w:rPr>
          <w:rFonts w:ascii="Verdana" w:hAnsi="Verdana"/>
          <w:i/>
        </w:rPr>
        <w:t>określenia terminu zapłaty wynagrodzenia dłuższego niż 28 dni od doręczenia Wykonawcy, Podwykonawcy lub dalszemu Podwykonawcy faktury lub rachunku za wykonane roboty budowlane</w:t>
      </w:r>
      <w:r w:rsidRPr="009E2F54">
        <w:rPr>
          <w:rFonts w:ascii="Verdana" w:hAnsi="Verdana"/>
        </w:rPr>
        <w:t>”</w:t>
      </w:r>
    </w:p>
    <w:p w:rsidR="00BA586E" w:rsidRPr="009E2F54" w:rsidRDefault="008535F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</w:t>
      </w:r>
      <w:r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6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 § 6 ust. 16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o zmianę terminu 16 dni na 28 dni.</w:t>
      </w:r>
    </w:p>
    <w:p w:rsidR="00BA586E" w:rsidRPr="009E2F54" w:rsidRDefault="008535F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</w:t>
      </w:r>
      <w:r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7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 § 6 ust. 21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o zmianę frazy „za ten okres” na frazę „za poprzedni okres rozliczeniowy”. Obecne brzmienie umowy zmusza Wykonawcę do kredytowania działalności podwykonawców.</w:t>
      </w:r>
    </w:p>
    <w:p w:rsidR="00BA586E" w:rsidRPr="009E2F54" w:rsidRDefault="008535F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lastRenderedPageBreak/>
        <w:t xml:space="preserve">Odp.: </w:t>
      </w:r>
      <w:r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8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 § 7 ust. 3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o dodanie po frazie „</w:t>
      </w:r>
      <w:r w:rsidRPr="009E2F54">
        <w:rPr>
          <w:rFonts w:ascii="Verdana" w:hAnsi="Verdana"/>
          <w:i/>
        </w:rPr>
        <w:t>protokołów odbioru wykonanych elementów robót” frazy „lub protokołów zaawansowania wykonywanych robót”</w:t>
      </w:r>
      <w:r w:rsidRPr="009E2F54">
        <w:rPr>
          <w:rFonts w:ascii="Verdana" w:hAnsi="Verdana"/>
        </w:rPr>
        <w:t>. Płatności winny odbywać się cyklicznie (raz na miesiąc) zgodnie z postępem robót, nie zaś jedynie w po tym jak zostanie ukończony wyodrębniony element robót mogący stanowić przedmiot odbioru częściowego.</w:t>
      </w:r>
    </w:p>
    <w:p w:rsidR="00BA586E" w:rsidRPr="009E2F54" w:rsidRDefault="008535F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</w:t>
      </w:r>
      <w:r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9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Dotyczy: § 7 ust. 14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o wykreślenie tego zdania. Strony nie mogą zmieniać bezwzględnie obowiązującej w polskim prawie cywilnym zasady, iż chwilą spełnienia świadczenia za pomocą rachunku bankowego jest chwila uznania rachunku bankowego wierzyciela.</w:t>
      </w:r>
    </w:p>
    <w:p w:rsidR="00E96FE5" w:rsidRPr="009E2F54" w:rsidRDefault="008535F9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 xml:space="preserve">Odp.: </w:t>
      </w:r>
      <w:r w:rsidRPr="009E2F54">
        <w:rPr>
          <w:rFonts w:ascii="Verdana" w:eastAsia="Calibri" w:hAnsi="Verdana"/>
          <w:b/>
          <w:iCs/>
          <w:lang w:eastAsia="en-US"/>
        </w:rPr>
        <w:t xml:space="preserve">Zamawiający nie wyraża zgody na zmianę </w:t>
      </w:r>
      <w:r w:rsidRPr="009E2F54">
        <w:rPr>
          <w:rFonts w:ascii="Verdana" w:eastAsia="Calibri" w:hAnsi="Verdana"/>
          <w:b/>
          <w:iCs/>
          <w:lang w:eastAsia="en-US"/>
        </w:rPr>
        <w:br/>
        <w:t>w powyższym zakresie.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10</w:t>
      </w:r>
      <w:r w:rsidR="008535F9" w:rsidRPr="009E2F54">
        <w:rPr>
          <w:rFonts w:ascii="Verdana" w:eastAsia="Calibri" w:hAnsi="Verdana"/>
          <w:b/>
          <w:lang w:eastAsia="en-US"/>
        </w:rPr>
        <w:t xml:space="preserve">, </w:t>
      </w:r>
      <w:r w:rsidRPr="009E2F54">
        <w:rPr>
          <w:rFonts w:ascii="Verdana" w:hAnsi="Verdana"/>
          <w:b/>
        </w:rPr>
        <w:t>Dotyczy: § 14 ust. 1 lit „a” i „b”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 xml:space="preserve">Wnosimy o zmniejszenie wysokości zastrzeżonych tam kar umownych do 0,1, % wynagrodzenia umownego brutto za każdy dzień zwłoki w wykonaniu przedmiotu Umowy i 0,05% wynagrodzenie umownego brutto za każdy dzień zwłoki w usunięciu wad stwierdzonych przy odbiorze. Obecne kary umowne zostały zastrzeżone w wysokości rażąco wygórowanej. </w:t>
      </w:r>
    </w:p>
    <w:p w:rsidR="00E96FE5" w:rsidRPr="009E2F54" w:rsidRDefault="00E96FE5" w:rsidP="009E2F54">
      <w:pPr>
        <w:jc w:val="both"/>
        <w:rPr>
          <w:rFonts w:ascii="Verdana" w:hAnsi="Verdana"/>
        </w:rPr>
      </w:pPr>
      <w:r w:rsidRPr="009E2F54">
        <w:rPr>
          <w:rFonts w:ascii="Verdana" w:hAnsi="Verdana"/>
        </w:rPr>
        <w:t>Wnosimy ponadto o ustalenie limitu sumy kar umownych jakie można zastosować do 10% wynagrodzenia umownego brutto.</w:t>
      </w:r>
    </w:p>
    <w:p w:rsidR="00E96FE5" w:rsidRPr="009E2F54" w:rsidRDefault="00C2755F" w:rsidP="009E2F54">
      <w:pPr>
        <w:jc w:val="both"/>
        <w:rPr>
          <w:rFonts w:ascii="Verdana" w:eastAsia="Calibri" w:hAnsi="Verdana"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Odp.: Odpowiedzi udzielono w Odpowiedzi na zapytania w sprawie SIWZ 9, Odp. 7, Odp. 8 i Odp. 9.</w:t>
      </w:r>
    </w:p>
    <w:p w:rsidR="00BA586E" w:rsidRPr="009E2F54" w:rsidRDefault="00BA586E" w:rsidP="009E2F54">
      <w:pPr>
        <w:jc w:val="both"/>
        <w:rPr>
          <w:rFonts w:ascii="Verdana" w:eastAsia="Calibri" w:hAnsi="Verdana"/>
          <w:lang w:eastAsia="en-US"/>
        </w:rPr>
      </w:pPr>
    </w:p>
    <w:p w:rsidR="00E96FE5" w:rsidRPr="009E2F54" w:rsidRDefault="00E96FE5" w:rsidP="009E2F54">
      <w:pPr>
        <w:jc w:val="both"/>
        <w:rPr>
          <w:rFonts w:ascii="Verdana" w:eastAsia="Calibri" w:hAnsi="Verdana"/>
          <w:b/>
          <w:lang w:eastAsia="en-US"/>
        </w:rPr>
      </w:pPr>
      <w:r w:rsidRPr="009E2F54">
        <w:rPr>
          <w:rFonts w:ascii="Verdana" w:eastAsia="Calibri" w:hAnsi="Verdana"/>
          <w:b/>
          <w:lang w:eastAsia="en-US"/>
        </w:rPr>
        <w:t>Pytanie 11</w:t>
      </w:r>
    </w:p>
    <w:p w:rsidR="00E96FE5" w:rsidRPr="009E2F54" w:rsidRDefault="00E96FE5" w:rsidP="009E2F54">
      <w:pPr>
        <w:jc w:val="both"/>
        <w:rPr>
          <w:rFonts w:ascii="Verdana" w:eastAsia="Calibri" w:hAnsi="Verdana"/>
          <w:lang w:eastAsia="en-US"/>
        </w:rPr>
      </w:pPr>
      <w:r w:rsidRPr="009E2F54">
        <w:rPr>
          <w:rFonts w:ascii="Verdana" w:eastAsia="Calibri" w:hAnsi="Verdana"/>
          <w:lang w:eastAsia="en-US"/>
        </w:rPr>
        <w:t>Czy beton barytowy stosujemy również dla ścian zewnętrznych od strony gruntu?</w:t>
      </w:r>
    </w:p>
    <w:p w:rsidR="00FF7F09" w:rsidRPr="009E2F54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9E2F54">
        <w:rPr>
          <w:rFonts w:ascii="Verdana" w:hAnsi="Verdana"/>
          <w:b/>
        </w:rPr>
        <w:t>Odp.: Beton barytowy należy zastosować również wokół chronionych pomieszczeń.</w:t>
      </w:r>
    </w:p>
    <w:p w:rsidR="00E96FE5" w:rsidRPr="009E2F54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9E2F54">
        <w:rPr>
          <w:rFonts w:ascii="Verdana" w:hAnsi="Verdana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5.25pt;height:180pt;visibility:visible;mso-wrap-style:square">
            <v:imagedata r:id="rId7" o:title=""/>
          </v:shape>
        </w:pict>
      </w:r>
    </w:p>
    <w:p w:rsidR="00E96FE5" w:rsidRPr="009E2F54" w:rsidRDefault="00E96FE5" w:rsidP="009E2F54">
      <w:pPr>
        <w:jc w:val="both"/>
        <w:rPr>
          <w:rFonts w:ascii="Verdana" w:eastAsia="Calibri" w:hAnsi="Verdana"/>
          <w:lang w:eastAsia="en-US"/>
        </w:rPr>
      </w:pPr>
      <w:bookmarkStart w:id="0" w:name="_GoBack"/>
      <w:bookmarkEnd w:id="0"/>
    </w:p>
    <w:p w:rsidR="00E96FE5" w:rsidRPr="009E2F54" w:rsidRDefault="00E96FE5" w:rsidP="009E2F54">
      <w:pPr>
        <w:jc w:val="both"/>
        <w:rPr>
          <w:rFonts w:ascii="Verdana" w:hAnsi="Verdana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12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 xml:space="preserve">Prosimy o weryfikację zestawień stali – np. na rysunku K-13 nie zgadzają się długości, ilości i średnice prętów pomiędzy rysunkiem i zestawienie, - przykład </w:t>
      </w:r>
      <w:proofErr w:type="spellStart"/>
      <w:r w:rsidRPr="00FF7F09">
        <w:rPr>
          <w:rFonts w:ascii="Verdana" w:eastAsia="Calibri" w:hAnsi="Verdana"/>
          <w:lang w:eastAsia="en-US"/>
        </w:rPr>
        <w:t>poz</w:t>
      </w:r>
      <w:proofErr w:type="spellEnd"/>
      <w:r w:rsidRPr="00FF7F09">
        <w:rPr>
          <w:rFonts w:ascii="Verdana" w:eastAsia="Calibri" w:hAnsi="Verdana"/>
          <w:lang w:eastAsia="en-US"/>
        </w:rPr>
        <w:t xml:space="preserve"> 154, wg rysunku 179#20 L=629, wg zestawienia 194#10 </w:t>
      </w:r>
      <w:proofErr w:type="spellStart"/>
      <w:r w:rsidRPr="00FF7F09">
        <w:rPr>
          <w:rFonts w:ascii="Verdana" w:eastAsia="Calibri" w:hAnsi="Verdana"/>
          <w:lang w:eastAsia="en-US"/>
        </w:rPr>
        <w:t>Lśr</w:t>
      </w:r>
      <w:proofErr w:type="spellEnd"/>
      <w:r w:rsidRPr="00FF7F09">
        <w:rPr>
          <w:rFonts w:ascii="Verdana" w:eastAsia="Calibri" w:hAnsi="Verdana"/>
          <w:lang w:eastAsia="en-US"/>
        </w:rPr>
        <w:t>=606</w:t>
      </w:r>
    </w:p>
    <w:p w:rsidR="00FF7F09" w:rsidRPr="00FF7F09" w:rsidRDefault="00FF7F09" w:rsidP="009E2F54">
      <w:pPr>
        <w:jc w:val="both"/>
        <w:rPr>
          <w:rFonts w:ascii="Verdana" w:hAnsi="Verdana"/>
          <w:b/>
          <w:color w:val="000000"/>
        </w:rPr>
      </w:pPr>
      <w:r w:rsidRPr="00FF7F09">
        <w:rPr>
          <w:rFonts w:ascii="Verdana" w:eastAsia="Calibri" w:hAnsi="Verdana"/>
          <w:b/>
          <w:lang w:eastAsia="en-US"/>
        </w:rPr>
        <w:t>Odp.:</w:t>
      </w:r>
      <w:r w:rsidRPr="00FF7F09">
        <w:rPr>
          <w:rFonts w:ascii="Verdana" w:hAnsi="Verdana"/>
          <w:color w:val="9933FF"/>
        </w:rPr>
        <w:t xml:space="preserve"> </w:t>
      </w:r>
      <w:r w:rsidRPr="00FF7F09">
        <w:rPr>
          <w:rFonts w:ascii="Verdana" w:hAnsi="Verdana"/>
          <w:b/>
          <w:color w:val="000000"/>
        </w:rPr>
        <w:t>Zweryfikowano zestawienie stali.</w:t>
      </w:r>
    </w:p>
    <w:p w:rsidR="00FF7F09" w:rsidRPr="00FF7F09" w:rsidRDefault="00FF7F09" w:rsidP="009E2F54">
      <w:pPr>
        <w:jc w:val="both"/>
        <w:rPr>
          <w:rFonts w:ascii="Verdana" w:hAnsi="Verdana"/>
          <w:b/>
          <w:color w:val="000000"/>
        </w:rPr>
      </w:pPr>
      <w:r w:rsidRPr="00FF7F09">
        <w:rPr>
          <w:rFonts w:ascii="Verdana" w:hAnsi="Verdana"/>
          <w:b/>
          <w:color w:val="000000"/>
        </w:rPr>
        <w:t>Na rys K-10 (zbrojenie stropu PS/-1) stwierdzono dwukrotnie występujące pozycje prętów 96,97,98 co powoduje zmianę sumarycznego zestawienia z 36949,85 kg na wartość 36926,13 kg.</w:t>
      </w:r>
    </w:p>
    <w:p w:rsidR="00FF7F09" w:rsidRPr="00FF7F09" w:rsidRDefault="00FF7F09" w:rsidP="009E2F54">
      <w:pPr>
        <w:jc w:val="both"/>
        <w:rPr>
          <w:rFonts w:ascii="Verdana" w:hAnsi="Verdana"/>
          <w:b/>
          <w:color w:val="000000"/>
        </w:rPr>
      </w:pPr>
      <w:r w:rsidRPr="00FF7F09">
        <w:rPr>
          <w:rFonts w:ascii="Verdana" w:hAnsi="Verdana"/>
          <w:b/>
          <w:color w:val="000000"/>
        </w:rPr>
        <w:t>Na rys K-13 (zbrojenie stropu PS/2) stwierdzono dwukrotnie występujące pozycje prętów  146,</w:t>
      </w:r>
      <w:r w:rsidR="00DD2404" w:rsidRPr="009E2F54">
        <w:rPr>
          <w:rFonts w:ascii="Verdana" w:hAnsi="Verdana"/>
          <w:b/>
          <w:color w:val="000000"/>
        </w:rPr>
        <w:t xml:space="preserve"> </w:t>
      </w:r>
      <w:r w:rsidRPr="00FF7F09">
        <w:rPr>
          <w:rFonts w:ascii="Verdana" w:hAnsi="Verdana"/>
          <w:b/>
          <w:color w:val="000000"/>
        </w:rPr>
        <w:t>147,</w:t>
      </w:r>
      <w:r w:rsidR="00DD2404" w:rsidRPr="009E2F54">
        <w:rPr>
          <w:rFonts w:ascii="Verdana" w:hAnsi="Verdana"/>
          <w:b/>
          <w:color w:val="000000"/>
        </w:rPr>
        <w:t xml:space="preserve"> </w:t>
      </w:r>
      <w:r w:rsidRPr="00FF7F09">
        <w:rPr>
          <w:rFonts w:ascii="Verdana" w:hAnsi="Verdana"/>
          <w:b/>
          <w:color w:val="000000"/>
        </w:rPr>
        <w:t>148,</w:t>
      </w:r>
      <w:r w:rsidR="00DD2404" w:rsidRPr="009E2F54">
        <w:rPr>
          <w:rFonts w:ascii="Verdana" w:hAnsi="Verdana"/>
          <w:b/>
          <w:color w:val="000000"/>
        </w:rPr>
        <w:t xml:space="preserve"> </w:t>
      </w:r>
      <w:r w:rsidRPr="00FF7F09">
        <w:rPr>
          <w:rFonts w:ascii="Verdana" w:hAnsi="Verdana"/>
          <w:b/>
          <w:color w:val="000000"/>
        </w:rPr>
        <w:t>149,</w:t>
      </w:r>
      <w:r w:rsidR="00DD2404" w:rsidRPr="009E2F54">
        <w:rPr>
          <w:rFonts w:ascii="Verdana" w:hAnsi="Verdana"/>
          <w:b/>
          <w:color w:val="000000"/>
        </w:rPr>
        <w:t xml:space="preserve"> 150, 151, 152, 153, 154, 156, 158, 159</w:t>
      </w:r>
      <w:r w:rsidRPr="00FF7F09">
        <w:rPr>
          <w:rFonts w:ascii="Verdana" w:hAnsi="Verdana"/>
          <w:b/>
          <w:color w:val="000000"/>
        </w:rPr>
        <w:t>, co powoduje zmianę sumarycznego zestawienia z 27714,53 kg na wartość 29582,33 kg.</w:t>
      </w:r>
    </w:p>
    <w:p w:rsidR="00FF7F09" w:rsidRPr="00FF7F09" w:rsidRDefault="00FF7F09" w:rsidP="009E2F54">
      <w:pPr>
        <w:jc w:val="both"/>
        <w:rPr>
          <w:rFonts w:ascii="Verdana" w:hAnsi="Verdana"/>
          <w:b/>
          <w:color w:val="000000"/>
        </w:rPr>
      </w:pPr>
      <w:r w:rsidRPr="00FF7F09">
        <w:rPr>
          <w:rFonts w:ascii="Verdana" w:hAnsi="Verdana"/>
          <w:b/>
          <w:color w:val="000000"/>
        </w:rPr>
        <w:t>Na rys K-14 (zbrojenie stropu PS/3) stwierdzono dwukrotnie występującą pozycję pręta  115, co powoduje zmianę sumarycznego zestawienia z 26558,28 kg na wartość 26558,22 kg.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13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>Czy dla pisuaru należy przyjąć zwór spłukujący elektroniczny?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 xml:space="preserve">Odp.: Dla pisuaru należy przyjąć elektroniczny zawór spłukujący. 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14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>Brak zaworów czerpalnych w pomieszczeniu separatora substancji ropopochodnych i w pomieszczeniu wodomierzowym. Czy należy do oferty założyć w tych pomieszczeniach zawory czerpalne wraz z doprowadzeniem wody zimnej?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Odp.:</w:t>
      </w:r>
      <w:r w:rsidRPr="00FF7F09">
        <w:rPr>
          <w:rFonts w:ascii="Verdana" w:hAnsi="Verdana"/>
          <w:b/>
        </w:rPr>
        <w:t xml:space="preserve"> Nie ma konieczności stosowania zaworów czerpalnych.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15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 xml:space="preserve">Czy do WC należy przyjąć deskę </w:t>
      </w:r>
      <w:proofErr w:type="spellStart"/>
      <w:r w:rsidRPr="00FF7F09">
        <w:rPr>
          <w:rFonts w:ascii="Verdana" w:eastAsia="Calibri" w:hAnsi="Verdana"/>
          <w:lang w:eastAsia="en-US"/>
        </w:rPr>
        <w:t>wolnoopadającą</w:t>
      </w:r>
      <w:proofErr w:type="spellEnd"/>
      <w:r w:rsidRPr="00FF7F09">
        <w:rPr>
          <w:rFonts w:ascii="Verdana" w:eastAsia="Calibri" w:hAnsi="Verdana"/>
          <w:lang w:eastAsia="en-US"/>
        </w:rPr>
        <w:t>?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lastRenderedPageBreak/>
        <w:t>Odp.:</w:t>
      </w:r>
      <w:r w:rsidRPr="00FF7F09">
        <w:rPr>
          <w:rFonts w:ascii="Verdana" w:eastAsia="Calibri" w:hAnsi="Verdana"/>
          <w:lang w:eastAsia="en-US"/>
        </w:rPr>
        <w:t xml:space="preserve"> </w:t>
      </w:r>
      <w:r w:rsidRPr="00FF7F09">
        <w:rPr>
          <w:rFonts w:ascii="Verdana" w:eastAsia="Calibri" w:hAnsi="Verdana"/>
          <w:b/>
          <w:lang w:eastAsia="en-US"/>
        </w:rPr>
        <w:t xml:space="preserve">W ofercie należy uwzględnić deski </w:t>
      </w:r>
      <w:proofErr w:type="spellStart"/>
      <w:r w:rsidRPr="00FF7F09">
        <w:rPr>
          <w:rFonts w:ascii="Verdana" w:eastAsia="Calibri" w:hAnsi="Verdana"/>
          <w:b/>
          <w:lang w:eastAsia="en-US"/>
        </w:rPr>
        <w:t>wolnoopadające</w:t>
      </w:r>
      <w:proofErr w:type="spellEnd"/>
      <w:r w:rsidRPr="00FF7F09">
        <w:rPr>
          <w:rFonts w:ascii="Verdana" w:eastAsia="Calibri" w:hAnsi="Verdana"/>
          <w:b/>
          <w:lang w:eastAsia="en-US"/>
        </w:rPr>
        <w:t xml:space="preserve"> w sedesach.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16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>Jaki rodzaj baterii natryskowej należy przyjąć do oferty?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Odp.: Do natrysków należy przyjąć baterie ze stali nierdzewnej, satyna, jedno uchowa, z możliwością dokładnego ustawienia temperatury i siły strumienia wody, ścienną z zestawem prysznicowym montowanym na rurze prysznicowej pionowej z możliwością regulacji położenia.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17</w:t>
      </w:r>
    </w:p>
    <w:p w:rsidR="00FF7F09" w:rsidRPr="00FF7F09" w:rsidRDefault="00FF7F09" w:rsidP="009E2F54">
      <w:pPr>
        <w:jc w:val="both"/>
        <w:rPr>
          <w:rFonts w:ascii="Verdana" w:hAnsi="Verdana"/>
        </w:rPr>
      </w:pPr>
      <w:r w:rsidRPr="00FF7F09">
        <w:rPr>
          <w:rFonts w:ascii="Verdana" w:eastAsia="Calibri" w:hAnsi="Verdana"/>
          <w:lang w:eastAsia="en-US"/>
        </w:rPr>
        <w:t>W projektach instalacji zewnętrznych wody, kanalizacji i ciepłociągu występują różne grubości podsypki pod rurociąg. Czy Zamawiający zgodzi się na wykonania jednakowej wysokości podsypki dla wszystkich instalacji wynoszącej 10 cm (piasku)</w:t>
      </w:r>
      <w:r w:rsidRPr="00FF7F09">
        <w:rPr>
          <w:rFonts w:ascii="Verdana" w:hAnsi="Verdana"/>
        </w:rPr>
        <w:t xml:space="preserve">. 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hAnsi="Verdana"/>
          <w:b/>
        </w:rPr>
        <w:t>Odp.: Zamawiający nie wyraża zgody na zaproponowana zmianę. Wysokość podsypki należy wykonywać zgodnie z projektem.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18</w:t>
      </w:r>
    </w:p>
    <w:p w:rsidR="00FF7F09" w:rsidRPr="00FF7F09" w:rsidRDefault="00FF7F09" w:rsidP="009E2F54">
      <w:pPr>
        <w:jc w:val="both"/>
        <w:rPr>
          <w:rFonts w:ascii="Verdana" w:hAnsi="Verdana"/>
        </w:rPr>
      </w:pPr>
      <w:r w:rsidRPr="00FF7F09">
        <w:rPr>
          <w:rFonts w:ascii="Verdana" w:eastAsia="Calibri" w:hAnsi="Verdana"/>
          <w:lang w:eastAsia="en-US"/>
        </w:rPr>
        <w:t>Proszę o podanie typu izolacji zastosowanej dla pionów kanalizacyjnych.  Proszę o potwierdzenie, że wszystkie piony kanalizacyjne (sanitarne i technologiczne) maja zostać zaizolowane.</w:t>
      </w:r>
      <w:r w:rsidRPr="00FF7F09">
        <w:rPr>
          <w:rFonts w:ascii="Verdana" w:hAnsi="Verdana"/>
        </w:rPr>
        <w:t xml:space="preserve"> 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hAnsi="Verdana"/>
          <w:b/>
        </w:rPr>
        <w:t>Odp.: Należy zastosować izolację akustyczną z wełny mineralnej na wszystkich pionach prowadzonych w pracowniach (zarówno na pionach sanitarnych jak i technologicznych) lub rury niskoszumowe.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19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>Proszę o potwierdzenie ilości pomp w instalacji kanalizacji sanitarnej: 2xpompa w separatorze + 1 x pompa w studni schładzającej.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color w:val="000000"/>
        </w:rPr>
      </w:pPr>
      <w:r w:rsidRPr="00FF7F09">
        <w:rPr>
          <w:rFonts w:ascii="Verdana" w:eastAsia="Calibri" w:hAnsi="Verdana"/>
          <w:b/>
          <w:color w:val="000000"/>
        </w:rPr>
        <w:t>Odp.: W ofercie należy uwzględnić ww. ilości tj.:  2 x pompy w separatorze,  1 x pompa w studni schładzającej.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20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 xml:space="preserve">Zgodnie z dokumentacją przetargową zasilenie  budynku w wodę i odbiór ścieków odbywa się  w oparciu o istniejącą sieć zewnętrzną będąca własnością Inwestora. Z uwagi na fakt, iż finalnym odbiorcą ścieków oraz dostawcą wody jest MPWiK proszę o potwierdzenie, że projekt instalacji zewnętrznej </w:t>
      </w:r>
      <w:proofErr w:type="spellStart"/>
      <w:r w:rsidRPr="00FF7F09">
        <w:rPr>
          <w:rFonts w:ascii="Verdana" w:eastAsia="Calibri" w:hAnsi="Verdana"/>
          <w:lang w:eastAsia="en-US"/>
        </w:rPr>
        <w:t>wod</w:t>
      </w:r>
      <w:proofErr w:type="spellEnd"/>
      <w:r w:rsidRPr="00FF7F09">
        <w:rPr>
          <w:rFonts w:ascii="Verdana" w:eastAsia="Calibri" w:hAnsi="Verdana"/>
          <w:lang w:eastAsia="en-US"/>
        </w:rPr>
        <w:t xml:space="preserve"> – </w:t>
      </w:r>
      <w:proofErr w:type="spellStart"/>
      <w:r w:rsidRPr="00FF7F09">
        <w:rPr>
          <w:rFonts w:ascii="Verdana" w:eastAsia="Calibri" w:hAnsi="Verdana"/>
          <w:lang w:eastAsia="en-US"/>
        </w:rPr>
        <w:t>kan</w:t>
      </w:r>
      <w:proofErr w:type="spellEnd"/>
      <w:r w:rsidRPr="00FF7F09">
        <w:rPr>
          <w:rFonts w:ascii="Verdana" w:eastAsia="Calibri" w:hAnsi="Verdana"/>
          <w:lang w:eastAsia="en-US"/>
        </w:rPr>
        <w:t xml:space="preserve"> został uzgodniony z MPWiK i zapewniona została dostawa wody w wymaganej ilości oraz odprowadzenie  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Odp.: Zasilanie w wodę realizowane jest do wewnętrznej sieci AGH.  Stwierdzono wystarczającą  przepustowość przyłącza wody.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21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 xml:space="preserve">W informacji technicznej MPWiK oświadcza, iż zapewnia wodę w odpowiedniej ilości tylko na potrzeby bytowe, usługowe i przemysłowe. Dodatkowe ilości wody, potrzebne na wewnętrzne gaszenie pożaru mogą </w:t>
      </w:r>
      <w:r w:rsidRPr="00FF7F09">
        <w:rPr>
          <w:rFonts w:ascii="Verdana" w:eastAsia="Calibri" w:hAnsi="Verdana"/>
          <w:lang w:eastAsia="en-US"/>
        </w:rPr>
        <w:lastRenderedPageBreak/>
        <w:t>być częściowo uwzględnione w bilansie wody, ilości większe należy przewidzieć w ramach instalacji wewnętrznej (zbiorniki p.poż.). W przedmiotowym projekcie ilość wody bytowej to 2,82 l/s a wody p.poż. to 3,0 l/s, co oznacza że bilans wody bytowej został przekroczony. Proszę o potwierdzenie, że projektowane przyłącze wody zapewni ilość wody potrzebną do celów ochrony przeciwpożarowej.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Odp.:</w:t>
      </w:r>
      <w:r w:rsidRPr="00FF7F09">
        <w:rPr>
          <w:rFonts w:ascii="Verdana" w:hAnsi="Verdana"/>
          <w:b/>
        </w:rPr>
        <w:t xml:space="preserve"> Zamawiający </w:t>
      </w:r>
      <w:r w:rsidRPr="00FF7F09">
        <w:rPr>
          <w:rFonts w:ascii="Verdana" w:eastAsia="Calibri" w:hAnsi="Verdana"/>
          <w:b/>
          <w:lang w:eastAsia="en-US"/>
        </w:rPr>
        <w:t>potwierdza, że przyłącze wody zapewnia ilość wody potrzebną do instalacji hydrantów wewnętrznych.</w:t>
      </w:r>
    </w:p>
    <w:p w:rsidR="009E2F54" w:rsidRPr="009E2F54" w:rsidRDefault="009E2F54" w:rsidP="009E2F54">
      <w:pPr>
        <w:jc w:val="both"/>
        <w:rPr>
          <w:rFonts w:ascii="Verdana" w:eastAsia="Calibri" w:hAnsi="Verdana"/>
          <w:b/>
          <w:lang w:eastAsia="en-US"/>
        </w:rPr>
      </w:pPr>
    </w:p>
    <w:p w:rsidR="00FF7F09" w:rsidRPr="00FF7F09" w:rsidRDefault="00FF7F09" w:rsidP="009E2F54">
      <w:pPr>
        <w:jc w:val="both"/>
        <w:rPr>
          <w:rFonts w:ascii="Verdana" w:eastAsia="Calibri" w:hAnsi="Verdana"/>
          <w:b/>
          <w:lang w:eastAsia="en-US"/>
        </w:rPr>
      </w:pPr>
      <w:r w:rsidRPr="00FF7F09">
        <w:rPr>
          <w:rFonts w:ascii="Verdana" w:eastAsia="Calibri" w:hAnsi="Verdana"/>
          <w:b/>
          <w:lang w:eastAsia="en-US"/>
        </w:rPr>
        <w:t>Pytanie 22</w:t>
      </w:r>
    </w:p>
    <w:p w:rsidR="00FF7F09" w:rsidRPr="00FF7F09" w:rsidRDefault="00FF7F09" w:rsidP="009E2F54">
      <w:pPr>
        <w:jc w:val="both"/>
        <w:rPr>
          <w:rFonts w:ascii="Verdana" w:eastAsia="Calibri" w:hAnsi="Verdana"/>
          <w:lang w:eastAsia="en-US"/>
        </w:rPr>
      </w:pPr>
      <w:r w:rsidRPr="00FF7F09">
        <w:rPr>
          <w:rFonts w:ascii="Verdana" w:eastAsia="Calibri" w:hAnsi="Verdana"/>
          <w:lang w:eastAsia="en-US"/>
        </w:rPr>
        <w:t>Proszę o potwierdzenie, że w celu zapewnienia ochrony przeciwpożarowej dla przedmiotowego budynku nie jest wymagana budowa zbiornika p.poż. oraz pompowni pożarowej.</w:t>
      </w:r>
    </w:p>
    <w:p w:rsidR="00FF7F09" w:rsidRPr="00FF7F09" w:rsidRDefault="00FF7F09" w:rsidP="009E2F54">
      <w:pPr>
        <w:jc w:val="both"/>
        <w:rPr>
          <w:rFonts w:ascii="Verdana" w:eastAsia="Calibri" w:hAnsi="Verdana"/>
          <w:b/>
          <w:color w:val="000000"/>
        </w:rPr>
      </w:pPr>
      <w:r w:rsidRPr="00FF7F09">
        <w:rPr>
          <w:rFonts w:ascii="Verdana" w:eastAsia="Calibri" w:hAnsi="Verdana"/>
          <w:b/>
          <w:color w:val="000000"/>
        </w:rPr>
        <w:t>Odp.: Zewnętrzne zabezpieczenie ppoż. realizowane jest poprzez hydranty zewnętrzne.</w:t>
      </w:r>
    </w:p>
    <w:p w:rsidR="0021206B" w:rsidRPr="00E96FE5" w:rsidRDefault="0021206B" w:rsidP="00E96FE5">
      <w:pPr>
        <w:jc w:val="both"/>
        <w:rPr>
          <w:rFonts w:ascii="Verdana" w:hAnsi="Verdana"/>
        </w:rPr>
      </w:pPr>
    </w:p>
    <w:p w:rsidR="0021206B" w:rsidRPr="00E96FE5" w:rsidRDefault="0021206B" w:rsidP="00E96FE5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77C" w:rsidRDefault="0035677C">
      <w:r>
        <w:separator/>
      </w:r>
    </w:p>
  </w:endnote>
  <w:endnote w:type="continuationSeparator" w:id="0">
    <w:p w:rsidR="0035677C" w:rsidRDefault="0035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T2E68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E2F5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77C" w:rsidRDefault="0035677C">
      <w:r>
        <w:separator/>
      </w:r>
    </w:p>
  </w:footnote>
  <w:footnote w:type="continuationSeparator" w:id="0">
    <w:p w:rsidR="0035677C" w:rsidRDefault="00356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3F8" w:rsidRDefault="004753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F7F0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E2F5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77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9067F"/>
    <w:rsid w:val="00315D72"/>
    <w:rsid w:val="00333103"/>
    <w:rsid w:val="00347E12"/>
    <w:rsid w:val="0035677C"/>
    <w:rsid w:val="003B15E7"/>
    <w:rsid w:val="003F7802"/>
    <w:rsid w:val="004753F8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535F9"/>
    <w:rsid w:val="00943AEF"/>
    <w:rsid w:val="009B3CE0"/>
    <w:rsid w:val="009E2F54"/>
    <w:rsid w:val="009F4EC1"/>
    <w:rsid w:val="00A17896"/>
    <w:rsid w:val="00A27DDB"/>
    <w:rsid w:val="00A45032"/>
    <w:rsid w:val="00B93993"/>
    <w:rsid w:val="00BA586E"/>
    <w:rsid w:val="00C2755F"/>
    <w:rsid w:val="00C529DB"/>
    <w:rsid w:val="00C914F4"/>
    <w:rsid w:val="00CA338E"/>
    <w:rsid w:val="00CB1285"/>
    <w:rsid w:val="00D108D9"/>
    <w:rsid w:val="00D74780"/>
    <w:rsid w:val="00D90657"/>
    <w:rsid w:val="00DD218F"/>
    <w:rsid w:val="00DD2404"/>
    <w:rsid w:val="00DD2AB3"/>
    <w:rsid w:val="00DF0345"/>
    <w:rsid w:val="00E5026B"/>
    <w:rsid w:val="00E96FE5"/>
    <w:rsid w:val="00F255EB"/>
    <w:rsid w:val="00F47BC4"/>
    <w:rsid w:val="00FC588B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6</Pages>
  <Words>1365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10</cp:revision>
  <cp:lastPrinted>2019-05-22T04:17:00Z</cp:lastPrinted>
  <dcterms:created xsi:type="dcterms:W3CDTF">2019-05-13T06:07:00Z</dcterms:created>
  <dcterms:modified xsi:type="dcterms:W3CDTF">2019-05-22T04:19:00Z</dcterms:modified>
</cp:coreProperties>
</file>