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80" w:rsidRDefault="008D038D" w:rsidP="00E05B0E">
      <w:pPr>
        <w:rPr>
          <w:b/>
          <w:bCs/>
          <w:sz w:val="24"/>
        </w:rPr>
      </w:pPr>
      <w:r w:rsidRPr="008D038D">
        <w:rPr>
          <w:b/>
          <w:bCs/>
          <w:sz w:val="24"/>
        </w:rPr>
        <w:t>Sekcja Zamówień Publicznych</w:t>
      </w:r>
    </w:p>
    <w:p w:rsidR="00E71B80" w:rsidRDefault="000027E3" w:rsidP="00E05B0E">
      <w:pPr>
        <w:rPr>
          <w:b/>
          <w:bCs/>
          <w:sz w:val="24"/>
        </w:rPr>
      </w:pPr>
      <w:r w:rsidRPr="008D038D">
        <w:rPr>
          <w:b/>
          <w:bCs/>
          <w:sz w:val="24"/>
        </w:rPr>
        <w:t>Oś</w:t>
      </w:r>
      <w:r w:rsidR="008D038D" w:rsidRPr="008D038D">
        <w:rPr>
          <w:b/>
          <w:bCs/>
          <w:sz w:val="24"/>
        </w:rPr>
        <w:t>. Na Skarpie</w:t>
      </w:r>
      <w:r w:rsidR="00E71B80">
        <w:rPr>
          <w:b/>
          <w:bCs/>
          <w:sz w:val="24"/>
        </w:rPr>
        <w:t xml:space="preserve"> </w:t>
      </w:r>
      <w:r w:rsidR="008D038D" w:rsidRPr="008D038D">
        <w:rPr>
          <w:b/>
          <w:bCs/>
          <w:sz w:val="24"/>
        </w:rPr>
        <w:t>66</w:t>
      </w:r>
    </w:p>
    <w:p w:rsidR="00E71B80" w:rsidRDefault="008D038D" w:rsidP="00E05B0E">
      <w:pPr>
        <w:rPr>
          <w:b/>
          <w:bCs/>
          <w:sz w:val="24"/>
        </w:rPr>
      </w:pPr>
      <w:r w:rsidRPr="008D038D">
        <w:rPr>
          <w:b/>
          <w:bCs/>
          <w:sz w:val="24"/>
        </w:rPr>
        <w:t>31-913</w:t>
      </w:r>
      <w:r w:rsidR="00E71B80">
        <w:rPr>
          <w:b/>
          <w:bCs/>
          <w:sz w:val="24"/>
        </w:rPr>
        <w:t xml:space="preserve"> </w:t>
      </w:r>
      <w:r w:rsidRPr="008D038D">
        <w:rPr>
          <w:b/>
          <w:bCs/>
          <w:sz w:val="24"/>
        </w:rPr>
        <w:t>Kraków</w:t>
      </w:r>
    </w:p>
    <w:p w:rsidR="00E71B80" w:rsidRDefault="00E71B80" w:rsidP="00E05B0E">
      <w:pPr>
        <w:pStyle w:val="Nagwek"/>
        <w:tabs>
          <w:tab w:val="clear" w:pos="4536"/>
          <w:tab w:val="left" w:pos="3686"/>
          <w:tab w:val="left" w:pos="7371"/>
        </w:tabs>
        <w:spacing w:after="120"/>
        <w:rPr>
          <w:sz w:val="24"/>
        </w:rPr>
      </w:pPr>
    </w:p>
    <w:p w:rsidR="00E71B80" w:rsidRDefault="00E71B80" w:rsidP="00E05B0E">
      <w:pPr>
        <w:pStyle w:val="Nagwek"/>
        <w:tabs>
          <w:tab w:val="clear" w:pos="4536"/>
        </w:tabs>
        <w:spacing w:after="120"/>
        <w:rPr>
          <w:sz w:val="24"/>
        </w:rPr>
      </w:pPr>
      <w:r>
        <w:rPr>
          <w:b/>
          <w:bCs/>
          <w:sz w:val="24"/>
        </w:rPr>
        <w:t xml:space="preserve">Pismo: </w:t>
      </w:r>
      <w:r w:rsidR="008D038D" w:rsidRPr="008D038D">
        <w:rPr>
          <w:b/>
          <w:bCs/>
          <w:sz w:val="24"/>
        </w:rPr>
        <w:t>ZP/2/2019/9</w:t>
      </w:r>
      <w:r>
        <w:rPr>
          <w:sz w:val="24"/>
        </w:rPr>
        <w:tab/>
        <w:t xml:space="preserve"> </w:t>
      </w:r>
      <w:r w:rsidR="008D038D" w:rsidRPr="008D038D">
        <w:rPr>
          <w:sz w:val="24"/>
        </w:rPr>
        <w:t>Kraków</w:t>
      </w:r>
      <w:r>
        <w:rPr>
          <w:sz w:val="24"/>
        </w:rPr>
        <w:t xml:space="preserve"> dnia: </w:t>
      </w:r>
      <w:r w:rsidR="008D038D" w:rsidRPr="008D038D">
        <w:rPr>
          <w:sz w:val="24"/>
        </w:rPr>
        <w:t>2019-05-13</w:t>
      </w:r>
    </w:p>
    <w:p w:rsidR="00E71B80" w:rsidRDefault="00E71B80" w:rsidP="000027E3">
      <w:pPr>
        <w:pStyle w:val="Nagwek"/>
        <w:tabs>
          <w:tab w:val="clear" w:pos="4536"/>
          <w:tab w:val="clear" w:pos="9072"/>
        </w:tabs>
        <w:spacing w:after="120"/>
        <w:rPr>
          <w:sz w:val="24"/>
        </w:rPr>
      </w:pPr>
    </w:p>
    <w:p w:rsidR="00E71B80" w:rsidRDefault="00E71B80" w:rsidP="00E05B0E">
      <w:pPr>
        <w:spacing w:after="120"/>
        <w:rPr>
          <w:sz w:val="24"/>
        </w:rPr>
      </w:pPr>
    </w:p>
    <w:p w:rsidR="00E71B80" w:rsidRPr="00E05B0E" w:rsidRDefault="00104E97" w:rsidP="00E05B0E">
      <w:pPr>
        <w:pStyle w:val="Nagwek1"/>
        <w:spacing w:before="0" w:after="120"/>
        <w:jc w:val="center"/>
        <w:rPr>
          <w:rFonts w:ascii="Times New Roman" w:hAnsi="Times New Roman"/>
          <w:spacing w:val="20"/>
        </w:rPr>
      </w:pPr>
      <w:r w:rsidRPr="00E05B0E">
        <w:rPr>
          <w:rFonts w:ascii="Times New Roman" w:hAnsi="Times New Roman"/>
          <w:spacing w:val="20"/>
        </w:rPr>
        <w:t>ZAWIADOMIENI</w:t>
      </w:r>
      <w:r w:rsidR="00E71B80" w:rsidRPr="00E05B0E">
        <w:rPr>
          <w:rFonts w:ascii="Times New Roman" w:hAnsi="Times New Roman"/>
          <w:spacing w:val="20"/>
        </w:rPr>
        <w:t>E</w:t>
      </w:r>
    </w:p>
    <w:p w:rsidR="00104E97" w:rsidRPr="00E05B0E" w:rsidRDefault="000027E3" w:rsidP="00E05B0E">
      <w:pPr>
        <w:pStyle w:val="Nagwek1"/>
        <w:spacing w:before="0" w:after="120"/>
        <w:jc w:val="center"/>
        <w:rPr>
          <w:rFonts w:ascii="Times New Roman" w:hAnsi="Times New Roman"/>
          <w:spacing w:val="20"/>
        </w:rPr>
      </w:pPr>
      <w:r w:rsidRPr="00E05B0E">
        <w:rPr>
          <w:rFonts w:ascii="Times New Roman" w:hAnsi="Times New Roman"/>
          <w:spacing w:val="20"/>
        </w:rPr>
        <w:t>O</w:t>
      </w:r>
      <w:r w:rsidR="00104E97" w:rsidRPr="00E05B0E">
        <w:rPr>
          <w:rFonts w:ascii="Times New Roman" w:hAnsi="Times New Roman"/>
          <w:spacing w:val="20"/>
        </w:rPr>
        <w:t xml:space="preserve"> wniesieniu odwołania</w:t>
      </w:r>
    </w:p>
    <w:p w:rsidR="00E71B80" w:rsidRDefault="00E71B80" w:rsidP="00E05B0E">
      <w:pPr>
        <w:spacing w:after="120"/>
        <w:ind w:left="539" w:firstLine="540"/>
        <w:jc w:val="both"/>
        <w:rPr>
          <w:sz w:val="24"/>
        </w:rPr>
      </w:pPr>
    </w:p>
    <w:p w:rsidR="00045F9A" w:rsidRPr="00B27841" w:rsidRDefault="00045F9A" w:rsidP="00045F9A">
      <w:pPr>
        <w:pStyle w:val="Tekstpodstawowywcity"/>
        <w:spacing w:after="120"/>
        <w:ind w:firstLine="0"/>
        <w:jc w:val="left"/>
      </w:pPr>
      <w:r w:rsidRPr="00B27841">
        <w:t>W związku z wniesieniem do Prezesa Krajowej Izby Odwoławczej w dniu 2019-05-</w:t>
      </w:r>
      <w:r w:rsidR="00524F52">
        <w:t>10</w:t>
      </w:r>
      <w:r w:rsidRPr="00B27841">
        <w:t xml:space="preserve"> odwołania, dotyczącego postępowania prowadzonego na podstawie przepisów ustawy z dnia 29 stycznia 2004 roku Prawo Zamówień Publicznych (</w:t>
      </w:r>
      <w:r w:rsidR="000027E3" w:rsidRPr="00B27841">
        <w:t>tj.</w:t>
      </w:r>
      <w:r w:rsidRPr="00B27841">
        <w:t xml:space="preserve"> Dz. U. z  2018 r. poz. 1986) w trybie </w:t>
      </w:r>
      <w:r w:rsidRPr="00B27841">
        <w:rPr>
          <w:b/>
        </w:rPr>
        <w:t>przetarg nieograniczony</w:t>
      </w:r>
      <w:r w:rsidRPr="00B27841">
        <w:t>, na:</w:t>
      </w:r>
      <w:r w:rsidRPr="00B27841">
        <w:br/>
      </w:r>
    </w:p>
    <w:p w:rsidR="00045F9A" w:rsidRPr="00B27841" w:rsidRDefault="00045F9A" w:rsidP="00045F9A">
      <w:pPr>
        <w:pStyle w:val="Tekstpodstawowywcity"/>
        <w:spacing w:after="120"/>
        <w:ind w:firstLine="0"/>
      </w:pPr>
      <w:r w:rsidRPr="00B27841">
        <w:rPr>
          <w:b/>
        </w:rPr>
        <w:t>Dostawa niesterylnego sprzętu jednorazowego i wielorazowego użytku</w:t>
      </w:r>
      <w:r w:rsidRPr="00B27841">
        <w:t xml:space="preserve">. </w:t>
      </w:r>
    </w:p>
    <w:p w:rsidR="00045F9A" w:rsidRPr="00B27841" w:rsidRDefault="00045F9A" w:rsidP="00045F9A">
      <w:pPr>
        <w:spacing w:after="120"/>
        <w:rPr>
          <w:sz w:val="24"/>
        </w:rPr>
      </w:pPr>
      <w:r w:rsidRPr="00B27841">
        <w:rPr>
          <w:sz w:val="24"/>
        </w:rPr>
        <w:br/>
        <w:t>Zgodnie z art. 185 ust. 1 ustawy w załączeniu przekazujemy kopię odwołania jednocześnie wzywając Państwa do przystąpienia do postępowania odwoławczego.</w:t>
      </w:r>
    </w:p>
    <w:p w:rsidR="00045F9A" w:rsidRPr="00B27841" w:rsidRDefault="00045F9A" w:rsidP="00045F9A">
      <w:pPr>
        <w:spacing w:after="120"/>
        <w:rPr>
          <w:sz w:val="24"/>
        </w:rPr>
      </w:pPr>
      <w:r w:rsidRPr="00B27841">
        <w:rPr>
          <w:sz w:val="24"/>
        </w:rPr>
        <w:t>Prosimy o zgłoszenie przystąpienia do postępowania odwoławczego w terminie 3 dni od dnia otrzymania kopii odwołania według zasad określonych w art. 185 ust. 2 ustawy.</w:t>
      </w:r>
    </w:p>
    <w:p w:rsidR="00E71B80" w:rsidRDefault="00E71B80" w:rsidP="00E05B0E">
      <w:pPr>
        <w:pStyle w:val="Tekstpodstawowy"/>
        <w:spacing w:after="120" w:line="240" w:lineRule="auto"/>
        <w:ind w:left="3117" w:firstLine="423"/>
        <w:jc w:val="right"/>
        <w:rPr>
          <w:i/>
        </w:rPr>
      </w:pPr>
    </w:p>
    <w:p w:rsidR="00A86C1C" w:rsidRPr="00A86C1C" w:rsidRDefault="00A86C1C" w:rsidP="00A86C1C">
      <w:pPr>
        <w:pStyle w:val="Tekstpodstawowy"/>
        <w:spacing w:after="120"/>
        <w:ind w:left="3117" w:firstLine="423"/>
        <w:jc w:val="center"/>
        <w:rPr>
          <w:i/>
        </w:rPr>
      </w:pPr>
      <w:r w:rsidRPr="00A86C1C">
        <w:rPr>
          <w:i/>
        </w:rPr>
        <w:t>Zamawiający</w:t>
      </w:r>
      <w:bookmarkStart w:id="0" w:name="_GoBack"/>
      <w:bookmarkEnd w:id="0"/>
    </w:p>
    <w:p w:rsidR="00E71B80" w:rsidRDefault="00A86C1C" w:rsidP="00A86C1C">
      <w:pPr>
        <w:pStyle w:val="Tekstpodstawowy"/>
        <w:spacing w:after="120" w:line="240" w:lineRule="auto"/>
        <w:ind w:left="3117" w:firstLine="423"/>
        <w:jc w:val="right"/>
        <w:rPr>
          <w:i/>
        </w:rPr>
      </w:pPr>
      <w:r w:rsidRPr="00A86C1C">
        <w:rPr>
          <w:i/>
        </w:rPr>
        <w:t>Dr n med. Jerzy Friediger – Dyrektor Szpitala</w:t>
      </w:r>
    </w:p>
    <w:p w:rsidR="00E71B80" w:rsidRDefault="00E71B80" w:rsidP="00E05B0E">
      <w:pPr>
        <w:spacing w:after="120"/>
        <w:jc w:val="right"/>
        <w:rPr>
          <w:sz w:val="24"/>
        </w:rPr>
      </w:pPr>
    </w:p>
    <w:p w:rsidR="00131A31" w:rsidRDefault="00131A31"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Default="000027E3" w:rsidP="00E05B0E">
      <w:pPr>
        <w:spacing w:after="120"/>
        <w:jc w:val="right"/>
        <w:rPr>
          <w:sz w:val="24"/>
        </w:rPr>
      </w:pP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Raszyn, dnia 10.05.2019r. Nasz znak: MLP/912/19</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Do Prezesa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Krajowej Izby Odwoławczej ul. Postępu 17a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02-676 Warszawa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Zamawiający: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Szpital Specjalistyczny im. Stefana Żeromskiego SPZOZ w Krakowie os. Na Skarpie 66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31-913 Kraków</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Tel.: 622 94 13, 622 94 87</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Faks: 644 47 56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e-mail: zpublQ©zeromski-szpital.pl</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Adres strony internetowej: www.zeromski-szpital.pl</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Odwołujący: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MEDLAB PRODUCTS SP. Z O.O. UI. Gałczyńskiego 8</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05-090 Raszyn</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Tel.: +48 22 7203512</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Faks: +48 22 8462926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e-mail: mlp.biuroQmedlab-products,com.pl</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Przedmiot zamówienia: „Dostawa niesterylnego sprzętu jednorazowego i wielorazowego użytku” Numer referencyjny: ZP/2/2019</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Wskazanie numeru Biuletynu Zamówień Publicznych albo Dziennika Urzędowego Wspólnot Europejskich, w którym zostało zamieszczone ogłoszenie o zamówieniu — Dziennik Urzędowy Wspólnot Europejskich, numer ogłoszenia 2019/S8 084-198912 data zamieszczenia ogłoszenia: 30.04.2019r.</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Wskazanie strony internetowej, na której została zamieszczona specyfikacja istotnych warunków zamówienia, jeżeli zamawiający udostępnia ją na tej stronie: platforma przetargowa https://e-ProPublico.pl</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Termin ukazania się specyfikacji istotnych warunków zamówienia: 30.04.2019r. na stronie www.zeromski-szpital.pl oraz https://e-ProPublico.pl</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MEDLAB-PRODUCTS Sp. z 0.0. Biuro: tel.: 22 720 35 12, nę 2166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ul. Gałczyńskiego 8, 05-090 Raszyn Dział Handlowy: tel.: 22 720</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NIP: 522-000-30-55, Numer Rejestrowy 000033562 Dział Sprzedaży i Obsługi Klienta: tel.: 22 720 35 04 KRS 0000100180, Sąd Rej. M. St. Warszawy, XIV Wydz. Gosp. KRS e-mail: mip.biuro© medlab-products.com.pl / .</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Kapitał zakładowy 111.720,00 PLN www.medlab-products.com.pl WL</w:t>
      </w:r>
    </w:p>
    <w:p w:rsidR="000027E3" w:rsidRPr="000027E3" w:rsidRDefault="000027E3" w:rsidP="000027E3">
      <w:pPr>
        <w:jc w:val="both"/>
        <w:rPr>
          <w:rFonts w:ascii="Cambria" w:eastAsia="Cambria" w:hAnsi="Cambria"/>
          <w:b/>
          <w:sz w:val="24"/>
          <w:szCs w:val="24"/>
          <w:lang w:val="en-US" w:eastAsia="en-US"/>
        </w:rPr>
      </w:pPr>
      <w:r w:rsidRPr="000027E3">
        <w:rPr>
          <w:rFonts w:ascii="Cambria" w:eastAsia="Cambria" w:hAnsi="Cambria"/>
          <w:b/>
          <w:sz w:val="24"/>
          <w:szCs w:val="24"/>
          <w:lang w:val="en-US" w:eastAsia="en-US"/>
        </w:rPr>
        <w:t xml:space="preserve">                                                                       ODWOŁANIE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Wobec postanowień specyfikacji istotnych warunków zamówienia - w szczególności - wobec opisu przedmiotu zamówienia oraz warunków udziału w postępowaniu o udzielenie zamówienia publicznego „Dostawa niesterylnego sprzętu jednorazowego i wielorazowego użytku”. Numer referencyjny: ZP/2/2019</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W imieniu Medlab Products Sp. z o.o. z siedzibą w Raszynie przy ul. Gałczyńskiego 8, zwanym dalej „Wykonawcą” lub „Odwołującym”, działając na podstawie art. 182 ust. 2 w związku z art. 180 ust. 2 pkt. 2 i 5 ustawy z dnia 29 stycznia 2004 r. Prawo zamówień publicznych (Dz. U. z 2015 r., poz. 2164 z późn. zm.), zwanej dalej „Ustawą”, wnoszę odwołanie wobec postanowień specyfikacji istotnych warunków zamówienia, w szczególności wobec opisu przedmiotu zamówienia w postępowaniu o udzielenie zamówienia publicznego „Dostawa niesterylnego sprzętu jednorazowego i wielorazowego użytku”, prowadzonym w trybie przetargu nieograniczonego o wartości </w:t>
      </w:r>
      <w:r w:rsidRPr="000027E3">
        <w:rPr>
          <w:rFonts w:ascii="Cambria" w:eastAsia="Cambria" w:hAnsi="Cambria"/>
          <w:sz w:val="24"/>
          <w:szCs w:val="24"/>
          <w:lang w:val="en-US" w:eastAsia="en-US"/>
        </w:rPr>
        <w:lastRenderedPageBreak/>
        <w:t>szacunkowej przekraczającej wyrażoną w złotych równowartość kwoty w wysokości 144.000 euro (sygnatura postępowania: ZP/2/2019), zwanym dalej „Postępowaniem”.</w:t>
      </w:r>
    </w:p>
    <w:p w:rsidR="000027E3" w:rsidRPr="000027E3" w:rsidRDefault="000027E3" w:rsidP="000027E3">
      <w:pPr>
        <w:numPr>
          <w:ilvl w:val="0"/>
          <w:numId w:val="8"/>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Zamawiającemu zarzucam działanie niezgodne z przepisami Ustawy poprzez podjęcie następujących czynności w Postępowaniu:</w:t>
      </w:r>
    </w:p>
    <w:p w:rsidR="000027E3" w:rsidRPr="000027E3" w:rsidRDefault="000027E3" w:rsidP="000027E3">
      <w:pPr>
        <w:numPr>
          <w:ilvl w:val="0"/>
          <w:numId w:val="9"/>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opisanie przedmiotu zamówienia poprzez wskazanie, w sposób pośredni, źródła pochodzenia produktów, co prowadzi do uprzywilejowania niektórych wykonawców i do wyeliminowania innych wykonawców i oferowanych przez nich produktów, w tym produktów oferowanych przez Odwołującego, co nie jest uzasadnione specyfiką przedmiotu zamówienia,</w:t>
      </w:r>
    </w:p>
    <w:p w:rsidR="000027E3" w:rsidRPr="000027E3" w:rsidRDefault="000027E3" w:rsidP="000027E3">
      <w:pPr>
        <w:numPr>
          <w:ilvl w:val="0"/>
          <w:numId w:val="9"/>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Opisanie przedmiotu zamówienia w sposób, który utrudnia uczciwą konkurencję. Il. Powyższe czynności stanowią naruszenie przez Zamawiającego:</w:t>
      </w:r>
    </w:p>
    <w:p w:rsidR="000027E3" w:rsidRPr="000027E3" w:rsidRDefault="000027E3" w:rsidP="000027E3">
      <w:pPr>
        <w:numPr>
          <w:ilvl w:val="0"/>
          <w:numId w:val="9"/>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art. 29 ust. 1, 2 i 3 wzw. z art.7 ust. 1 Ustawy, poprzez opisanie przedmiotu zamówienia godzący w zasadę uczciwej konkurencji i równego traktowania wykonawców i opisanie przedmiotu postępowania w taki sposób, że możliwe jest zaoferowanie tylko produktów jednego wytwórcy mimo, że na rynku istnieje co najmniej kilka równoważnych grup produktów.</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ill. Mając na względzie powyższe, wnoszę 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Uwzględnienie odwołania i obciążenie Zamawiającego kosztami postępowania odwoławczego.</w:t>
      </w:r>
    </w:p>
    <w:p w:rsidR="000027E3" w:rsidRPr="000027E3" w:rsidRDefault="000027E3" w:rsidP="000027E3">
      <w:pPr>
        <w:numPr>
          <w:ilvl w:val="0"/>
          <w:numId w:val="10"/>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Nakazanie Zamawiającemu zmianę postanowień SIWZ, poprzez:</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A. Odstąpienie od wymogu zawartego w Załączniku nr 2 do SIWZ znajdującego się pod tabelą asortymentowo - cenową Zadanie 22 - Warunek 1 „Zamawiający wymaga aby wszystkie elementy systemu zamkniętego do pobierania krwi żylnej pochodziły od jednego producenta. W przypadku zaoferowania asortymentu od różnych producentów, Zamawiający wymaga dołączenia oświadczeń od producentów poszczególnych elementów potwierdzających wzajemną kompatybilność zaoferowanych elementów systemów” poprzez zmianę zapisu tego punktu, na następujący: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„Zamawiający wymaga aby wszystkie elementy systemu zamkniętego _do pobierania </w:t>
      </w:r>
      <w:r w:rsidRPr="000027E3">
        <w:rPr>
          <w:rFonts w:ascii="Cambria" w:eastAsia="Cambria" w:hAnsi="Cambria"/>
          <w:i/>
          <w:sz w:val="24"/>
          <w:szCs w:val="24"/>
          <w:lang w:val="en-US" w:eastAsia="en-US"/>
        </w:rPr>
        <w:t>krwi_żytnej</w:t>
      </w:r>
      <w:r w:rsidRPr="000027E3">
        <w:rPr>
          <w:rFonts w:ascii="Cambria" w:eastAsia="Cambria" w:hAnsi="Cambria"/>
          <w:sz w:val="24"/>
          <w:szCs w:val="24"/>
          <w:lang w:val="en-US" w:eastAsia="en-US"/>
        </w:rPr>
        <w:t xml:space="preserve"> pochodziły od jednego wytwórcy -—- w przypadku</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zaoferowania części systemu różnych wytwórców - wykonawca musi złożyć oświadczenie o kompatybilności elementów systemu. zgodnie z wymogiem art. 30 ust 1 pkt. 1 Ustawy z dnia 20 maja 2010r. o wyrobach medycznych."</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Dla wyjaśnienia: System zamknięty pobierania krwi żylnej to zespół wyrobów takich jak: próbówki, igły,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wkłucia, uchwyty, adaptery, itp. wzajemnie dła siebie przeznaczonych i ze sobą współpracujących i kompatybilnych, przeznaczonych do pobierania krwi z żyły pacjenta w celu jej zbadania w sposób chroniący środowisko przez kontaktem z nią oraz jej spreparowania do tych badań</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B. Odstąpienie od wymogu zawartego w Załączniku nr 2 do SIWZ znajdującego się pod tabelą asortymentowo - cenową Zadanie 22 - Warunek 2 „Probówki z zakręcanymi korkami za wyjątkiem probówki do OB z pozycji nr 14”</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V. Odwołujący posiada interes w uzyskaniu przedmiotowego zamówienia oraz poniesie szkodę w wyniku naruszenia przez Zamawiającego ww. przepisów Ustawy.</w:t>
      </w:r>
    </w:p>
    <w:p w:rsidR="000027E3" w:rsidRPr="000027E3" w:rsidRDefault="000027E3" w:rsidP="000027E3">
      <w:pPr>
        <w:numPr>
          <w:ilvl w:val="0"/>
          <w:numId w:val="11"/>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Na skutek niezgodnego z przepisami ustawy i dyskryminującego opisu przedmiotu zamówienia Odwołujący pozbawiony zostaje możliwości złożenia ważnej oferty i ubiegania się o zamówienie w niniejszym postępowaniu, co narusza jego interes prawny i finansowy.</w:t>
      </w:r>
    </w:p>
    <w:p w:rsidR="000027E3" w:rsidRPr="000027E3" w:rsidRDefault="000027E3" w:rsidP="000027E3">
      <w:pPr>
        <w:numPr>
          <w:ilvl w:val="0"/>
          <w:numId w:val="11"/>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Powyższe dowodzi o spełnieniu przesłanki do skorzystania ze środków ochrony prawnej przewidzianych w art. 179 ust. 1 Ustawy.</w:t>
      </w:r>
    </w:p>
    <w:p w:rsidR="000027E3" w:rsidRPr="000027E3" w:rsidRDefault="000027E3" w:rsidP="000027E3">
      <w:pPr>
        <w:numPr>
          <w:ilvl w:val="0"/>
          <w:numId w:val="11"/>
        </w:numPr>
        <w:jc w:val="both"/>
        <w:rPr>
          <w:rFonts w:ascii="Cambria" w:eastAsia="Cambria" w:hAnsi="Cambria"/>
          <w:sz w:val="24"/>
          <w:szCs w:val="24"/>
          <w:lang w:val="en-US" w:eastAsia="en-US"/>
        </w:rPr>
      </w:pPr>
      <w:r w:rsidRPr="000027E3">
        <w:rPr>
          <w:rFonts w:ascii="Cambria" w:eastAsia="Cambria" w:hAnsi="Cambria"/>
          <w:sz w:val="24"/>
          <w:szCs w:val="24"/>
          <w:lang w:val="en-US" w:eastAsia="en-US"/>
        </w:rPr>
        <w:lastRenderedPageBreak/>
        <w:t>Wiadomość o okolicznościach stanowiących podstawę do wniesienia odwołania Odwołujący powziął w dniu 30.04.2019r. Termin na wniesienie odwołania wynikający z art. 182 ust. 2 ust. 1 Ustawy został zachowany.</w:t>
      </w:r>
    </w:p>
    <w:p w:rsidR="000027E3" w:rsidRPr="000027E3" w:rsidRDefault="000027E3" w:rsidP="000027E3">
      <w:pPr>
        <w:numPr>
          <w:ilvl w:val="0"/>
          <w:numId w:val="11"/>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Odwołujący przesłał przy użyciu środków komunikacji publicznej kopię odwołania Zamawiającemu w dniu 10.05.2019r. tj. z zachowaniem terminu, o którym mowa w art. 180 ust. 5 Ustawy.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UZASADNIENIE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Zamawiający prowadzi postępowanie o udzielenie zamówienia publicznego o wartości szacunkowej wyższej niż kwoty określone w przepisach wydanych na podstawie art. 11 ust. 8 ustawy Pzp pt.: „Dostawa niesterylnego sprzętu jednorazowego i wielorazowego użytku” Numer referencyjny: ZP/2/2019.</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Przedmiot zamówienia obejmuje 37 niepodzielnych części i został szczegółowo opisany w tabelach asortymentowej, stanowiących załącznik nr 2 do SIWZ. W przypadku Zadania 22 pod tabelą asortymentowo - cenową Zamawiający zamieścił wymogi, które oferowane produkty muszą spełniać.</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Naruszenie art. 29 ust. 3 w zw. z art. 7 ust. 1 Ustawy, nastąpiło przez opisanie przedmiotu zamówienia poprzez pośrednie wskazania źródła pochodzenia elementów składowych systemu zamkniętego w sposób, który prowadzi do uprzywilejowania niektórych wykonawców i do wyeliminowania innych wykonawców i oferowanych przez nich produktów, w tym produktów oferowanych przez Odwołującego.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System zamknięty pobierania krwi żylnej to zespół wyrobów wzajemnie dla siebie przeznaczonych</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Ad.A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Pod tabelą asortymentowo-cenową został zawarty następujący parametr wymagany: „Zamawiający wymaga aby wszystkie elementy systemu zamkniętego do pobierania krwi żylnej pochodziły od jednego producenta. W przypadku zaoferowania asortymentu od różnych producentów, Zamawiający wymaga dołączenia oświadczeń od producentów poszczególnych elementów potwierdzających wzajemną kompatybilność zaoferowanych elementów systemów."</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Tak postawiony parametr graniczny narusza w sposób istotny art. 29 ust. 3 Ustawy, bowiem prowadzi do uprzywilejowania jednego wykonawcę i do wyeliminowania produktów oferowanych przez innych wykonawców mogących w sposób należyty wykonać zamówienie publiczne.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Po pierwsze - Zamawiający nie określił, których pozycji w Zadaniu nr 22 dotyczy ten wymóg, czy całego asortymentu objętego Zadaniem nr 22, czy tylko niektórych pozycji. Jeśli tak - to które, zdaniem Odwołującego wyroby z pozycji 15,16, 28, 29, 30 Zadania 22 nie należą do wyrobów zaliczanych do systemu zamkniętego do pobierania krwi żylnej i jako takie nie muszą być kompatybilne z jego elementami, czyli pozostałymi wyrobami z Zadania 22, ani pochodzić od tego samego producenta.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Natomiast w podanym przez Zamawiającego zapisie wymóg ten obejmuje cały asortyment zawarty w tym zadaniu to znaczy, że obejmuje on także pozycje asortymentowe nie stanowiące powszechnie rozumianego systemu zamkniętego i z nim nie współpracujące (poz. 15, 16, 28, 29, 30). Zatem umieszczenie ich w pakiecie z produktami systemu zamkniętego i wymaganie, aby pochodziły od tego samego producenta co wyroby systemu i były z nim kompatybilne, jest sztuczne i służy, przy postawionym wymogu pochodzenia wszystkich wyrobów z zadania od jednego producenta, jedynie uniemożliwieniu złożenia ważnej oferty przez wielu potencjalnych wykonawców w tym Odwołującego, co stanowi ewidentny i rażący dowód naruszenia - art. 29 ust. 3 Ustawy. Produkty takie jak „probówki do mikrometody”, czy strzykawki do </w:t>
      </w:r>
      <w:r w:rsidRPr="000027E3">
        <w:rPr>
          <w:rFonts w:ascii="Cambria" w:eastAsia="Cambria" w:hAnsi="Cambria"/>
          <w:sz w:val="24"/>
          <w:szCs w:val="24"/>
          <w:lang w:val="en-US" w:eastAsia="en-US"/>
        </w:rPr>
        <w:lastRenderedPageBreak/>
        <w:t>gazometrii, których używa się niezależnie od systemu zamkniętego, a także stazy (uciskowe opaski naramienne), które co prawda uczestniczą w procesie pobierania krwi, to jednak nie muszą być z tym systemem kompatybilne, nie tylko nie muszą, ale na ogół nie pochodzą od tego samego producenta co wyroby systemu zamkniętego. Jeśli zatem Zamawiający postawił taki wymóg, to zdaniem Odwołującego tylko dlatego, aby wyeliminować część wykonawców z ubiegania się o zamówienie publiczne.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Jeśli natomiast wymóg „jednego producenta”, obejmuje tylko wybrane pozycje to określenie, których pozycji dotyczy ten wymóg jest uznaniowe i może być przedmiotem późniejszych sporów między Zamawiającym a wykonawcą, jeśli okazałoby się, że wykonawca inaczej zinterpretował ten wymóg graniczny, niż Zamawiający. Jak również nie wypełnia wymogu opisania przedmiotu zamówienia w sposób jednoznaczny i wyczerpujący.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Po drugie — Zamawiający wymagając, aby wszystkie elementy systemu zamkniętego do pobierania krwi żylnej pochodziły od jednego producenta, dopuścił co prawda odstępstwo od tego wymogu, ale postawił jednocześnie warunek, który nie jest możliwy do spełnienia, a mianowicie postawił wymóg, iż „przypadku zaoferowania asortymentu od różnych producentów, Zamawiający wymaga dołączenia oświadczeń od producentów poszczególnych elementów potwierdzających wzajemną kompatybilność zaoferowanych elementów systemów”.</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Tak więc, jakkolwiek Zamawiający dopuścił do wystawienia takich oświadczeń, bowiem narzuca to Ustawa z dnia 20 maja 2010r. o wyrobach medycznych, to jest to dopuszczenie tylko pozorne bowiem:</w:t>
      </w:r>
    </w:p>
    <w:p w:rsidR="000027E3" w:rsidRPr="000027E3" w:rsidRDefault="000027E3" w:rsidP="000027E3">
      <w:pPr>
        <w:numPr>
          <w:ilvl w:val="0"/>
          <w:numId w:val="9"/>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obowiązek sprawdzenia i potwierdzenia takiej kompatybilności spoczywa, zgodnie z ustawą o wyrobach medycznych, na wprowadzającym je na rynek, a więc w tym wypadku na Wykonawcy, a nie na producencie czy wytwórcy,</w:t>
      </w:r>
    </w:p>
    <w:p w:rsidR="000027E3" w:rsidRPr="000027E3" w:rsidRDefault="000027E3" w:rsidP="000027E3">
      <w:pPr>
        <w:numPr>
          <w:ilvl w:val="0"/>
          <w:numId w:val="9"/>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wystawienie oświadczeń o kompatybilności dla wszystkich wyrobów z zadania jest niemożliwe co wykazaliśmy powyżej.</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Wyjaśniając szczegółowo, tak postawiony warunek graniczny nie jest możliwy do spełnienia, ponieważ nie jest możliwie uzyskanie oświadczeń od producentów, gdyż:</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Ustawie z dnia 20 maja 2010r. o wyrobach medycznych, ustawodawca posłużył się pojęciem Wytwórcy. Definiując je w następujący sposób:</w:t>
      </w:r>
    </w:p>
    <w:p w:rsidR="000027E3" w:rsidRPr="000027E3" w:rsidRDefault="000027E3" w:rsidP="000027E3">
      <w:pPr>
        <w:numPr>
          <w:ilvl w:val="0"/>
          <w:numId w:val="12"/>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Wytwórca:</w:t>
      </w:r>
    </w:p>
    <w:p w:rsidR="000027E3" w:rsidRPr="000027E3" w:rsidRDefault="000027E3" w:rsidP="000027E3">
      <w:pPr>
        <w:numPr>
          <w:ilvl w:val="0"/>
          <w:numId w:val="13"/>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podmiot odpowiedzialny za projektowanie, wytwarzanie, pakowanie i oznakowanie wyrobu przed wprowadzeniem go do obrotu pod nazwą własną, niezależnie od tego, czy te czynności wykonuje on sam, czy w jego imieniu inny podmiot,</w:t>
      </w:r>
    </w:p>
    <w:p w:rsidR="000027E3" w:rsidRPr="000027E3" w:rsidRDefault="000027E3" w:rsidP="000027E3">
      <w:pPr>
        <w:numPr>
          <w:ilvl w:val="0"/>
          <w:numId w:val="13"/>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podmiot, który montuje, pakuje, przetwarza, całkowicie odtwarza łub oznakowuje gotowy produkt lub nadaje mu przewidziane zastosowanie, w celu wprowadzenia go do obrotu jako wyrobu pod nazwą własną, z wyjątkiem podmiotu, który montuje lub dostosowuje wyroby już wprowadzone do obrotu, w celu ich przewidzianego zastosowania przez indywidualnego pacjenta;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(art. 2 ust 45 Ustawy z dnia 20 maja 2010r o wyrobach medycznych (Dz.U. 2010 nr 107, poz. 679 z późniejszymi zmianami).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Natomiast pojęcie „producent” nie istnieje w Ustawie z dnia 20 maja 2010r. o wyrobach medycznych czyli ich nie dotyczy. Można zatem stwierdzić, producent czyli jednostka produkująca fizycznie wyrób nie występuje w obrocie wyrobów medycznych, a wręcz często stanowi tajemnicę handlową wytwórcy. Dlatego też Zamawiający nie może żądać oświadczeń od producentów poszczególnych elementów systemu zamkniętego. Może natomiast, w przypadku gdy poszczególne elementy systemu zamkniętego nie pochodzą od jednego wykonawcy, żądać oświadczenia o kompatybilności tych elementów, przy </w:t>
      </w:r>
      <w:r w:rsidRPr="000027E3">
        <w:rPr>
          <w:rFonts w:ascii="Cambria" w:eastAsia="Cambria" w:hAnsi="Cambria"/>
          <w:sz w:val="24"/>
          <w:szCs w:val="24"/>
          <w:lang w:val="en-US" w:eastAsia="en-US"/>
        </w:rPr>
        <w:lastRenderedPageBreak/>
        <w:t>czym zgodnie z art. 30 ust 1 pkt. 1 Ustawą z dnia 20 maja 2010r. o wyrobach medycznych, oświadczenie takie składa „podmiot, który w celu wprowadzenia do obrotu jako system lub zestaw zabiegowy zestawia razem wyroby medyczne oznakowane znakiem CE, nie przekraczając ich przewidzianego zastosowania i ograniczeń w używaniu określonych przez ich wytwórców” potwierdza złożonym oświadczeniem, że „zweryfikowano wzajemną kompatybilność wyrobów medycznych zgodnie z instrukcjami wytwórców i przeprowadzono wskazane w nich działania zgodnie z tymi instrukcjami”.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Zatem, w świetle obowiązujących przepisów prawa oświadczenie złożone przez dostawcę (Wykonawcę), w szczególności jeśli może przedstawić on dowody na istnienie takiej kompatybilności, jest wystarczające i gwarantuje właściwą współpracę oferowanych wyrobów medycznych.</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Należy zatem stwierdzić, że Zamawiający tylko pozornie dopuścił, aby elementy systemu pochodziły od różnych producentów. Wymagając oświadczenia o kompatybilności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elementów systemu od producentów, a nie od wykonawcy doprowadził do sytuacji, że złożenie takich oświadczeń jest niemożliwe i wykonawca oferujący produkty pochodzące od różnych wytwórców i tak nie będzie mógł złożyć ważnej oferty w niniejszym postępowaniu. W konsekwencji tego, ważną ofertę będzie mógł złożyć tylko wykonawca, który zaoferuje wyroby od jednego wytwórcy(producenta) i spełni warunek, o którym mowa w punkcie B. Będzie to więc tylko jeden Wykonawca, bowiem pozostali działający na rynku wykonawcy nie będą spełniali jednego, bądź obu wymogów Zamawiającego od których odwołuje się w niniejszym odwołaniu Odwołujący (wykonawca)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Niezależnie od powyższego, postawiony przez Zamawiającego wymóg pochodzenia wszystkich elementów systemu od jednego producenta (wytwórcy) nie jest konieczny do zapewnienia kompatybilności wszystkich elementów systemu zamkniętego. Wytwórcy produktów systemów podciśnieniowego pobierania krwi produkują je według ogólnie przyjętych standardów i norm, które powodują, że można je używać zamiennie od różnych producentów tak samo jak igły i strzykawki.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Ad. B</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Odwołujący twierdzi, że parametr graniczny zdefiniowany w sposób następujący: „Probówki z zakręcanymi korkami za wyjątkiem probówki do OB z pozycji nr 14”, narusza w sposób istotny art. 29 ust. 3 Ustawy, bowiem prowadzi do uprzywilejowania jednego wykonawcę i do wyeliminowania produktów oferowanych przez innych wykonawców mogących w sposób należyty wykonać zamówienie publiczne.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Na rynku polskim Odwołującemu znany jest tylko jeden system zamknięty do pobierania krwi żylnej posiadający probówki zakręcane. Jest to system Vacuette, firmy Greiner-Bio- One, który w Polsce jest dystrybuowany przez wykonawcę - firmę Eclipse Sp. z 0.0. sp. k,</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Dlatego Odwołujący uważa, że parametr „Probówki z zakręcanymi korkami za wyjątkiem probówki do OB z pozycji nr 14” został wprowadzony do specyfikacji wyłącznie w celu ułatwienia uzyskania zamówienia publicznego jednemu z Wykonawców, bez jakichkolwiek podstaw merytorycznych. Brak jest bowiem jakichkolwiek dowodów, że probówki zakręcane, których żąda Wykonawca, mają jakieś inne dodatkowe cechy użytkowe czy funkcjonalne, istotne dla Zamawiającego których nie posiadają probówki z korkiem wciskanym. Tak więc postawiony przez Zamawiającego w SIWZ wymóg probówek zakręcanych, nie jest cechą istotną i jakościowo ważną dla Zamawiającego dającą probówkom o takim rozwiązaniu konstrukcyjnych przewagę jakościową nad rozwiązaniem konstrukcyjnym probówek z </w:t>
      </w:r>
      <w:r w:rsidRPr="000027E3">
        <w:rPr>
          <w:rFonts w:ascii="Cambria" w:eastAsia="Cambria" w:hAnsi="Cambria"/>
          <w:sz w:val="24"/>
          <w:szCs w:val="24"/>
          <w:lang w:val="en-US" w:eastAsia="en-US"/>
        </w:rPr>
        <w:lastRenderedPageBreak/>
        <w:t>korkami wciskanymi oferowanymi praktycznie przez wszystkich innych wytwórców na świecie. Chociażby oferowanych przez Odwołującego.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Za zasadnością takiego twierdzenia przemawia również fakt, że Zamawiający w pozycji 14 nie wymaga probówki zakręcanej, czyni tak tylko dlatego, że system, którego wyboru chce dokonać, posiada w tej pozycji probówkę wciskaną, tak jak inni wytwórcy i nie może zaoferować probówki zakręcanej.</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rzeczywistości takie rozwiązanie konstrukcyjne stanowi wadę wchodzących w skład systemu probówek. Probówki zakręcane, które jako jedyne zostały dopuszczone do zaoferowania w niniejszym postępowaniu i są wymagane przez Zamawiającego posiadają stare rozwiązanie konstrukcyjne powstałe na początku lat dziewięćdziesiątych dlatego, że ich wytwórca nie był w stanie rozwiązać problemu szczelności „korek wciskany + probówka” i zapewnić właściwy poziom próżni, a co za tym idzie właściwy poziom pobierania krwi.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 (u Wszyscy inni wytwórcy i oferenci systemów podciśnieniowych, a jest ich w Polsce ok. 10, a na świecie co najmniej kilkuset, oferują rozwiązanie konstrukcyjne z korkami wciskanymi, które również pozwala na otwieranie ich ruchem obrotowym, a na dodatek takie otwieranie wymaga mniejszej siły, co czyni je bardziej ergonomicznym dla pracowników taboratoriów i pielęgniarek. Należy tu też dodać, że ostatecznie i firma Greiner-Bio-One rozwiązała ten problem po wygaśnięciu patentu firmy Becton Dickinson Ltd i obecnie oferuje także probówki z korkami wciskanymi jako nowocześniejsze.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Norma PN-EN ISO 6710: 2018-01E „Pojemniki jednorazowego użytku do pobierania od ludzi próbek krwi żylnej” nie definiuje w żaden sposób korków gwintowanych (zakręcanych) jako preferowanych dla tego rodzaju pojemników (probówek). Zaznacza jedynie, iż jeśli przewidywane jest otwieranie pojemników (probówek) należy je zaprojektować w sposób umożliwiający ich „otwieranie za pomocą uchwytu palcami i/lub środkami mechanicznymi....” oraz zaleca, aby „pojemniki na próbki były zabezpieczone przed nieoczekiwanym wylaniem zawartości w trakcie otwierania” (Rozdział 6 ww. wspomnianej Normy) — w załączeniu strona Normy zawierająca Rozdział 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__świetle powyższego Odwołujący twierdzi, że nie ma żadnego uzasadnienia merytorycznego, aby preferować jeden sposób zamykania probówek w sytuacji, kiedy oba rodzaje zamykania probówek podciśnieniowych („na gwint” lub „wciskane”) w takim samym stopniu zapewniają optymalną ochronę i bezpieczeństwo personelu przed kontaktem z krwią pacjenta, zabezpieczają przed wydostaniem się z probówki krwi się w niej znajdującej, eliminują efekt aerozolowy przy otwieraniu oraz umożliwiają wielokrotne zdejmowanie i zakładanie korków na probówkę z jednoczesnym zachowaniem szczelności zamknięcia.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Tym samym wymaganie przez Zamawiającego probówek zakręcanych jako jedynych dopuszczalnych, jest jawnym preferowaniem wyrobów konkretnego wytwórcy i wykonawcy i stoi w sprzeczności z zapisem art. 7 oraz art. 29 Ustawy prawo zamówień publicznych, bowiem nie zostaje spełniony ani wymóg bezstronności i obiektywizmu, ani wymóg opisania przedmiotu zamówienia w sposób, który nie powinien doprowadzić do uprzywilejowania lub wyeliminowania niektórych wykonawców.</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Należy stwierdzić, że wprowadzony wymóg probówek zakręcanych nie ma na celu wybranie oferty korzystnej dla Zamawiającego zarówno jakościowo, jak i ekonomicznie, ale doprowadzenie do wyboru z góry wytypowanego Wykonawcy, nawet jeśli jego oferta będzie o wiele droższa od takiej, która w pełni spełniałaby potrzeby Zamawiającego.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lastRenderedPageBreak/>
        <w:t>Jeżeli Zamawiający żąda „probówek zakręcanych” ze względu na jakieś ich specjalne cechy, które nie są znane Odwołującemu, mimo sprzedaży przez niego takich systemów przez ponad 25 lat, to powinien w SIWZ te wymagane cechy wyrobu określić, a nie narzucać unikalne rozwiązanie konstrukcyjne preferujące jedynie jednego wykonawcę.</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Nie ważne jest bowiem rozwiązanie konstrukcyjne, tylko cecha, którą powinny posiadać wyroby. Zamawiający, w celu zachowania obiektywizmu, aby zapewnić optymalną jakość systemu, zamiast stawiać warunek graniczny: „Probówki z zakręcanymi korkami”, powinien postawić wymóg, aby zamknięcia probówek zapewniały optymalną ochronę personelu przed kontaktem z krwią pacjenta, eliminowały efekt aerozolowy przy otwieraniu oraz umożliwiały wielokrotne zdejmowanie i zakładanie z jednoczesnym zachowaniem szczelności zamknięcia. Jeśli takich cech wymaga i są dla niego istotne.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Tak więc brak jest jakichkolwiek podstaw formalnych i merytorycznych do postawienia takich wymogów, jakie postawił Zamawiający, a od których Odwołujący (Wykonawca) składa niniejsze odwołanie.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uchwale KIO z dnia 7 sierpnia 2009 roku (KIO/KD 20/09) wskazano, że opisanie przedmiotu zamówienia w sposób, który dyskryminuje jakikolwiek produkt stanowiący element składowy zamówienia bez uzasadnionej przyczyny, przeczy zasadom określonym w art. 7 ust. 1 i art. 29 ust. 2 Ustawy.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 xml:space="preserve">Uchwała KIO z dnia 4 kwietnia 2016 sygn. KIO/KD/21/16 wyraźnie wskazuje, że „sporządzenie opisu przedmiotu zamówienia stanowi jedną z najistotniejszych czynności zamawiającego poprzedzających wszczęcie postępowania o udzielenie zamówienia publicznego, która determinuje cały przebieg postępowania o udzielenie zamówienia i może wywrzeć wpływ na jego wynik. Dlatego też zamawiający winni dokonywać tej czynności z poszanowaniem wyrażonej w art. 7 ust. 1 ustawy P.z.p. zasady nakładającej obowiązek przygotowania i przeprowadzenia postępowania w sposób zapewniający zachowanie uczciwej konkurencji oraz równe traktowanie wykonawców. Ustawodawca__ stanął jednoznacznie na_ stanowisku, iż zamawiający nie może </w:t>
      </w:r>
      <w:r w:rsidRPr="000027E3">
        <w:rPr>
          <w:rFonts w:ascii="Cambria" w:eastAsia="Cambria" w:hAnsi="Cambria"/>
          <w:i/>
          <w:sz w:val="24"/>
          <w:szCs w:val="24"/>
          <w:lang w:val="en-US" w:eastAsia="en-US"/>
        </w:rPr>
        <w:t xml:space="preserve">w ramach postępowania o udzielenie zamówienia publicznego formułować opisu przedmiotu zamówienia w sposób, który  bezpośrednio </w:t>
      </w:r>
      <w:r w:rsidRPr="000027E3">
        <w:rPr>
          <w:rFonts w:ascii="Cambria" w:eastAsia="Cambria" w:hAnsi="Cambria"/>
          <w:sz w:val="24"/>
          <w:szCs w:val="24"/>
          <w:lang w:val="en-US" w:eastAsia="en-US"/>
        </w:rPr>
        <w:t xml:space="preserve"> lub </w:t>
      </w:r>
      <w:r w:rsidRPr="000027E3">
        <w:rPr>
          <w:rFonts w:ascii="Cambria" w:eastAsia="Cambria" w:hAnsi="Cambria"/>
          <w:i/>
          <w:sz w:val="24"/>
          <w:szCs w:val="24"/>
          <w:lang w:val="en-US" w:eastAsia="en-US"/>
        </w:rPr>
        <w:t>nawet</w:t>
      </w:r>
      <w:r w:rsidRPr="000027E3">
        <w:rPr>
          <w:rFonts w:ascii="Cambria" w:eastAsia="Cambria" w:hAnsi="Cambria"/>
          <w:sz w:val="24"/>
          <w:szCs w:val="24"/>
          <w:lang w:val="en-US" w:eastAsia="en-US"/>
        </w:rPr>
        <w:t xml:space="preserve"> pośrednio __godziłby vw wyżej wskazaną zasadę. Dyskryminujące opisanie przedmiotu zamówienia wpływa bowiem na mniejszą liczbę złożonych w postępowaniu ofert, oraz może powodować oferowanie przez wykonawców produktów tylko i wyłącznie jednego producenta czy dystrybutora. W efekcie prowadzi to do powstania ułomnego rynku kreowanego przez zamawiających, na którym rzeczywistą konkurencję zastępuje quasi-konkurencja między dostawcami tej samej technologii lub produktów tego samego producenta lub dystrybutora”.</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wyroku KIO z dnia 20 stycznia 2009 r., sygn. akt: KIO/UZP 2/09 czy</w:t>
      </w:r>
      <w:r>
        <w:rPr>
          <w:rFonts w:ascii="Cambria" w:eastAsia="Cambria" w:hAnsi="Cambria"/>
          <w:sz w:val="24"/>
          <w:szCs w:val="24"/>
          <w:lang w:val="en-US" w:eastAsia="en-US"/>
        </w:rPr>
        <w:t xml:space="preserve">tamy: „1. Swoboda Zamawiającego </w:t>
      </w:r>
      <w:r w:rsidRPr="000027E3">
        <w:rPr>
          <w:rFonts w:ascii="Cambria" w:eastAsia="Cambria" w:hAnsi="Cambria"/>
          <w:sz w:val="24"/>
          <w:szCs w:val="24"/>
          <w:lang w:val="en-US" w:eastAsia="en-US"/>
        </w:rPr>
        <w:t>w opisie przedmiotu zamówienia nie może prowadzić do nieuzasadnionego ograniczenia kręgu potencjalnych wykonawców. W sytuacji określenia wymagań odnoszących się do potrzeb Zamawiającego, mogących ograniczać krąg potencjalnych wykonawców, Zamawiający winien wykazać, że wyłącznie produkt o parametrach przez niego określonych umożliwia mu realizację celu założonego w postępowaniu o zamówienie publiczne. 2. Zakazane jest formułowanie warunków postępowania uniemożliwiających swobodny dostęp do udziału w postępowaniu w celu złożenia oferty. Oznacza to konieczność eliminacji z opisu przedmiotu zamówienia wszelkich sformułowań, które mogłyby eliminować konkretnych wykonawców, uniemożliwiając im złożenie oferty lub powodowałyby sytuację, w której jeden z zainteresowanych wykonawców byłby bardziej uprzywilejowany od pozostałych."</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lastRenderedPageBreak/>
        <w:t>Konkludując postawienie wymogu „jednego producenta” lub niemożliwego do spełnienia wymogu przedstawienia oświadczeń producentów poszczególnych elementów systemu, w przypadku zaoferowania asortymentu od różnych producentów (wytwórców), oraz probówek z korkami zakręcanymi jest opisaniem przedmiotu zamówienia w sposób charakteryzujący produkty jednego wytwórcy, co prowadzi do uprzywilejowania niektórych wykonawców i do wyeliminowania innych, co narusza wprost zapisy art. 29 ust. 3 Ustawy.</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W zakresie naruszenia art. 29 ust. 1 i 2 w zw. zart. 7 ust. i Ustawy, poprzez opisanie przedmiotu zamówienia godzące w zasadę uczciwej konkurencji i równego traktowania Wykonawców, należy wskazać również, co następuje:</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Zgodnie z zapisem ust 2 art. 29 ustawy: „Przedmiotu zamówienia nie można opisywać w sposób, który mógłby utrudniać uczciwą konkurencję”</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Pojęcie sposobów naruszenia uczciwej konkurencji o którym mowa w art. 29 ust. 2 zostało doprecyzowane w wyroku KIO z dnia 22.01.2009r. (sygn. KIO/UZP 30/09), w którym Izba stwierdziła, że: „Zgodnie ż ugruntowanym orzecznictwem i doktryną z naruszeniem zasady uczciwej konkurencji przy opisie przedmiotu zamówienia mamy do czynienia w sytuacji np. opisu przedmiotu zamówienia, który w sposób bezpośredni — przez wskazanie znaków towarowych, oznaczeń lub w sposób pośredni — poprzez wskazanie parametrów prowadzi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do uprzywilejowania jednego podmiotu względem drugiego."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„Naruszenie zasady wynikającej z art. 29 ust. 2 ustawy P.z.p. może być realizowane w sposób bezpośredni oraz pośredni. Bezpośrednie naruszenie ww. artykułu zachodzi, gdy przedmiot zamówienia określany jest w sposób określający konkretny produkt poprzez wskazanie znaków towarowych, oznaczeń, patentów lub pochodzenia. Natomiast pośrednie naruszenie zasady poszanowania uczciwej konkurencji w odniesieniu do opisu przedmiotu zamówienia będzie miało miejsce, gdy produkt opisany przez Zamawiającego nie będzie nazwany, jednakże wymogi i parametry przedmiotu zamówienia zostaną określone tak, że aby je spełnić wykonawca musi dostarczyć jeden konkretny produkt.” Powyższe stanowisko zostało rozwinięte w wyroku Krajowej Izby Odwoławczej z dnia 7 stycznia 2008 r. (sygn. akt KIO/UZP 28/07; KIO/UZP 100/07), w którego uzasadnieniu Izba stwierdziła, że: "Przepis art. 29 ust. 2 usławy P.z.p. zakazuje opisywania przedmiotu zamówienia w sposób, który mógłby utrudniać uczciwą konkurencję. Należy przy tym zauważyć, że przez utrudnienie uczciwej konkurencji należy rozumieć opisywanie przedmiotu zamówienia poprzez wskazanie znaków towarowych, patentów lub pochodzenia (z wyjątkiem sytuacji zastrzeżonych w ustawie), lub poprzez opisanie przedmiotu zamówienia z wykorzystaniem oznaczeń lub parametrów wskazujących konkretnego producenta (dostawcę), lub konkretny</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produkt. W szerokim rozumieniu tego przepisu ograniczenie zasady uczciwej konkurencji może nastąpić w wyniku opisania przedmiotu zamówienia w sposób na tyle rygorystyczny, że ogranicza to krąq wykonawców zdolnych do wykonania zamówienia, a jednocześnie nie</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jest to uzasadnione potrzebami zamawiającego." Uchwała KIO z dnia 4 kwietnia 2016 sygn. KIO/KD/21/16</w:t>
      </w:r>
    </w:p>
    <w:p w:rsidR="000027E3" w:rsidRPr="000027E3" w:rsidRDefault="000027E3" w:rsidP="000027E3">
      <w:pPr>
        <w:jc w:val="both"/>
        <w:rPr>
          <w:rFonts w:ascii="Cambria" w:eastAsia="Cambria" w:hAnsi="Cambria"/>
          <w:sz w:val="24"/>
          <w:szCs w:val="24"/>
          <w:lang w:val="en-US" w:eastAsia="en-US"/>
        </w:rPr>
      </w:pPr>
      <w:r>
        <w:rPr>
          <w:rFonts w:ascii="Cambria" w:eastAsia="Cambria" w:hAnsi="Cambria"/>
          <w:sz w:val="24"/>
          <w:szCs w:val="24"/>
          <w:lang w:val="en-US" w:eastAsia="en-US"/>
        </w:rPr>
        <w:t xml:space="preserve">Właśnie z taką sytuacja mamy </w:t>
      </w:r>
      <w:r w:rsidRPr="000027E3">
        <w:rPr>
          <w:rFonts w:ascii="Cambria" w:eastAsia="Cambria" w:hAnsi="Cambria"/>
          <w:sz w:val="24"/>
          <w:szCs w:val="24"/>
          <w:lang w:val="en-US" w:eastAsia="en-US"/>
        </w:rPr>
        <w:t>d</w:t>
      </w:r>
      <w:r>
        <w:rPr>
          <w:rFonts w:ascii="Cambria" w:eastAsia="Cambria" w:hAnsi="Cambria"/>
          <w:sz w:val="24"/>
          <w:szCs w:val="24"/>
          <w:lang w:val="en-US" w:eastAsia="en-US"/>
        </w:rPr>
        <w:t>o</w:t>
      </w:r>
      <w:r w:rsidRPr="000027E3">
        <w:rPr>
          <w:rFonts w:ascii="Cambria" w:eastAsia="Cambria" w:hAnsi="Cambria"/>
          <w:sz w:val="24"/>
          <w:szCs w:val="24"/>
          <w:lang w:val="en-US" w:eastAsia="en-US"/>
        </w:rPr>
        <w:t xml:space="preserve"> czynienia w niniejszym postępowaniu, gdzie Zamawiający poprzez wprowadzenie wymogu, aby wszystkie eleme</w:t>
      </w:r>
      <w:r>
        <w:rPr>
          <w:rFonts w:ascii="Cambria" w:eastAsia="Cambria" w:hAnsi="Cambria"/>
          <w:sz w:val="24"/>
          <w:szCs w:val="24"/>
          <w:lang w:val="en-US" w:eastAsia="en-US"/>
        </w:rPr>
        <w:t xml:space="preserve">nty pobierania krwi pochodziły </w:t>
      </w:r>
      <w:r w:rsidRPr="000027E3">
        <w:rPr>
          <w:rFonts w:ascii="Cambria" w:eastAsia="Cambria" w:hAnsi="Cambria"/>
          <w:sz w:val="24"/>
          <w:szCs w:val="24"/>
          <w:lang w:val="en-US" w:eastAsia="en-US"/>
        </w:rPr>
        <w:t>d</w:t>
      </w:r>
      <w:r>
        <w:rPr>
          <w:rFonts w:ascii="Cambria" w:eastAsia="Cambria" w:hAnsi="Cambria"/>
          <w:sz w:val="24"/>
          <w:szCs w:val="24"/>
          <w:lang w:val="en-US" w:eastAsia="en-US"/>
        </w:rPr>
        <w:t>o</w:t>
      </w:r>
      <w:r w:rsidRPr="000027E3">
        <w:rPr>
          <w:rFonts w:ascii="Cambria" w:eastAsia="Cambria" w:hAnsi="Cambria"/>
          <w:sz w:val="24"/>
          <w:szCs w:val="24"/>
          <w:lang w:val="en-US" w:eastAsia="en-US"/>
        </w:rPr>
        <w:t xml:space="preserve"> jednego producenta, a w przypadku gdy nie pochodzą - wymaga p</w:t>
      </w:r>
      <w:r>
        <w:rPr>
          <w:rFonts w:ascii="Cambria" w:eastAsia="Cambria" w:hAnsi="Cambria"/>
          <w:sz w:val="24"/>
          <w:szCs w:val="24"/>
          <w:lang w:val="en-US" w:eastAsia="en-US"/>
        </w:rPr>
        <w:t xml:space="preserve">rzedstawienia oświadczeń </w:t>
      </w:r>
      <w:r w:rsidRPr="000027E3">
        <w:rPr>
          <w:rFonts w:ascii="Cambria" w:eastAsia="Cambria" w:hAnsi="Cambria"/>
          <w:sz w:val="24"/>
          <w:szCs w:val="24"/>
          <w:lang w:val="en-US" w:eastAsia="en-US"/>
        </w:rPr>
        <w:t>d</w:t>
      </w:r>
      <w:r>
        <w:rPr>
          <w:rFonts w:ascii="Cambria" w:eastAsia="Cambria" w:hAnsi="Cambria"/>
          <w:sz w:val="24"/>
          <w:szCs w:val="24"/>
          <w:lang w:val="en-US" w:eastAsia="en-US"/>
        </w:rPr>
        <w:t>o</w:t>
      </w:r>
      <w:r w:rsidRPr="000027E3">
        <w:rPr>
          <w:rFonts w:ascii="Cambria" w:eastAsia="Cambria" w:hAnsi="Cambria"/>
          <w:sz w:val="24"/>
          <w:szCs w:val="24"/>
          <w:lang w:val="en-US" w:eastAsia="en-US"/>
        </w:rPr>
        <w:t xml:space="preserve"> producentów poszczególnych elementów potwierdzających wzajemną kompatybilność zaoferowanych elementów systemów, który to wymóg jest niemożliwy do spełnienia, ze względów opisanych powyżej, wymaganie probówek posiadających zakręcane korki doprowadził do uprzywilejowania </w:t>
      </w:r>
      <w:r w:rsidRPr="000027E3">
        <w:rPr>
          <w:rFonts w:ascii="Cambria" w:eastAsia="Cambria" w:hAnsi="Cambria"/>
          <w:sz w:val="24"/>
          <w:szCs w:val="24"/>
          <w:lang w:val="en-US" w:eastAsia="en-US"/>
        </w:rPr>
        <w:lastRenderedPageBreak/>
        <w:t>jednego podmiotu względem drugiego, który również byłby w stanie złożyć ważną i zgodną z przepisami prawa ofertę, gdyby nie wykluczające go parametry graniczne, wskazane powyżej, których wprowadzenie uprzywilejowuje jednego dostawcę, choć nie gwarantuje wyższej jakości oferowanych produktów.</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Tym samy określone dla Zadania 22 wymogi mogą zostać spełnione tylko przez jednego</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wytwórcę, co narusza wprost zasadę określoną w art. 29 ust 2 Ustawy o zamówieniach Publicznych.</w:t>
      </w:r>
      <w:r>
        <w:rPr>
          <w:rFonts w:ascii="Cambria" w:eastAsia="Cambria" w:hAnsi="Cambria"/>
          <w:sz w:val="24"/>
          <w:szCs w:val="24"/>
          <w:lang w:val="en-US" w:eastAsia="en-US"/>
        </w:rPr>
        <w:t xml:space="preserve"> </w:t>
      </w:r>
      <w:r w:rsidRPr="000027E3">
        <w:rPr>
          <w:rFonts w:ascii="Cambria" w:eastAsia="Cambria" w:hAnsi="Cambria"/>
          <w:sz w:val="24"/>
          <w:szCs w:val="24"/>
          <w:lang w:val="en-US" w:eastAsia="en-US"/>
        </w:rPr>
        <w:t>W świetle powyższego niniejsze odwołanie jest zasadne i zasługuje na uwzględnienie.</w:t>
      </w:r>
      <w:r>
        <w:rPr>
          <w:rFonts w:ascii="Cambria" w:eastAsia="Cambria" w:hAnsi="Cambria"/>
          <w:sz w:val="24"/>
          <w:szCs w:val="24"/>
          <w:lang w:val="en-US" w:eastAsia="en-US"/>
        </w:rPr>
        <w:t xml:space="preserve"> </w:t>
      </w:r>
      <w:r>
        <w:rPr>
          <w:rFonts w:ascii="Cambria" w:eastAsia="Cambria" w:hAnsi="Cambria"/>
          <w:sz w:val="24"/>
          <w:szCs w:val="24"/>
          <w:lang w:val="en-US" w:eastAsia="en-US"/>
        </w:rPr>
        <w:br/>
      </w:r>
      <w:r w:rsidRPr="000027E3">
        <w:rPr>
          <w:rFonts w:ascii="Cambria" w:eastAsia="Cambria" w:hAnsi="Cambria"/>
          <w:sz w:val="24"/>
          <w:szCs w:val="24"/>
          <w:lang w:val="en-US" w:eastAsia="en-US"/>
        </w:rPr>
        <w:t>J. Godlewski</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Załączniki:</w:t>
      </w:r>
    </w:p>
    <w:p w:rsidR="000027E3" w:rsidRPr="000027E3" w:rsidRDefault="000027E3" w:rsidP="000027E3">
      <w:pPr>
        <w:numPr>
          <w:ilvl w:val="0"/>
          <w:numId w:val="14"/>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Aktualny odpis z Krajowego Rejestru Sądowego</w:t>
      </w:r>
    </w:p>
    <w:p w:rsidR="000027E3" w:rsidRPr="000027E3" w:rsidRDefault="000027E3" w:rsidP="000027E3">
      <w:pPr>
        <w:numPr>
          <w:ilvl w:val="0"/>
          <w:numId w:val="14"/>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Dowód uiszczenia wpisu od odwołania w wymaganej wysokości 15000 zł.</w:t>
      </w:r>
    </w:p>
    <w:p w:rsidR="000027E3" w:rsidRPr="000027E3" w:rsidRDefault="000027E3" w:rsidP="000027E3">
      <w:pPr>
        <w:numPr>
          <w:ilvl w:val="0"/>
          <w:numId w:val="14"/>
        </w:numPr>
        <w:jc w:val="both"/>
        <w:rPr>
          <w:rFonts w:ascii="Cambria" w:eastAsia="Cambria" w:hAnsi="Cambria"/>
          <w:sz w:val="24"/>
          <w:szCs w:val="24"/>
          <w:lang w:val="en-US" w:eastAsia="en-US"/>
        </w:rPr>
      </w:pPr>
      <w:r w:rsidRPr="000027E3">
        <w:rPr>
          <w:rFonts w:ascii="Cambria" w:eastAsia="Cambria" w:hAnsi="Cambria"/>
          <w:sz w:val="24"/>
          <w:szCs w:val="24"/>
          <w:lang w:val="en-US" w:eastAsia="en-US"/>
        </w:rPr>
        <w:t>Dowód przekazanie kopii odwołania Zamawiającemu</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Strona Normy PN-EN ISO 6710: 2018-01E „Pojemniki jednorazowego użytku do</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pobierania od ludzi próbek krwi żylnej” zawierająca Rozdział 6</w:t>
      </w:r>
    </w:p>
    <w:p w:rsidR="000027E3" w:rsidRPr="000027E3" w:rsidRDefault="000027E3" w:rsidP="000027E3">
      <w:pPr>
        <w:jc w:val="both"/>
        <w:rPr>
          <w:rFonts w:ascii="Cambria" w:eastAsia="Cambria" w:hAnsi="Cambria"/>
          <w:sz w:val="24"/>
          <w:szCs w:val="24"/>
          <w:lang w:val="en-US" w:eastAsia="en-US"/>
        </w:rPr>
      </w:pPr>
      <w:r w:rsidRPr="000027E3">
        <w:rPr>
          <w:rFonts w:ascii="Cambria" w:eastAsia="Cambria" w:hAnsi="Cambria"/>
          <w:sz w:val="24"/>
          <w:szCs w:val="24"/>
          <w:lang w:val="en-US" w:eastAsia="en-US"/>
        </w:rPr>
        <w:t>MEDLAB PRODUCTE Sp. Z 0.0 KRS 0000300180, FIKD 48462 REGON 006216920 06-090 Haszyk ut. Oałkzyńskiego B tel. (022) 11619 40. fax (022) £46-29-20</w:t>
      </w:r>
    </w:p>
    <w:p w:rsidR="000027E3" w:rsidRDefault="000027E3" w:rsidP="000027E3">
      <w:pPr>
        <w:jc w:val="both"/>
        <w:rPr>
          <w:sz w:val="24"/>
        </w:rPr>
      </w:pPr>
    </w:p>
    <w:sectPr w:rsidR="000027E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C4F" w:rsidRDefault="005F3C4F">
      <w:r>
        <w:separator/>
      </w:r>
    </w:p>
  </w:endnote>
  <w:endnote w:type="continuationSeparator" w:id="0">
    <w:p w:rsidR="005F3C4F" w:rsidRDefault="005F3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E05B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05B0E" w:rsidRDefault="00E05B0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A86C1C">
    <w:pPr>
      <w:pStyle w:val="Stopka"/>
      <w:tabs>
        <w:tab w:val="clear" w:pos="4536"/>
      </w:tabs>
      <w:jc w:val="center"/>
    </w:pPr>
    <w:r>
      <w:rPr>
        <w:noProof/>
      </w:rPr>
      <w:pict>
        <v:line id="_x0000_s2049" style="position:absolute;left:0;text-align:left;z-index:251657728" from="-3.85pt,8.75pt" to="455.15pt,8.75pt"/>
      </w:pict>
    </w:r>
  </w:p>
  <w:p w:rsidR="00E05B0E" w:rsidRDefault="00E05B0E">
    <w:pPr>
      <w:pStyle w:val="Stopka"/>
      <w:tabs>
        <w:tab w:val="clear" w:pos="4536"/>
      </w:tabs>
      <w:jc w:val="center"/>
      <w:rPr>
        <w:rFonts w:ascii="Arial" w:hAnsi="Arial" w:cs="Arial"/>
        <w:sz w:val="18"/>
        <w:szCs w:val="18"/>
      </w:rPr>
    </w:pPr>
    <w:r>
      <w:rPr>
        <w:rFonts w:ascii="Arial" w:hAnsi="Arial" w:cs="Arial"/>
        <w:sz w:val="18"/>
        <w:szCs w:val="18"/>
      </w:rPr>
      <w:t xml:space="preserve">System ProPublico © Datacomp </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E05B0E">
    <w:pPr>
      <w:pStyle w:val="Stopka"/>
      <w:pBdr>
        <w:bottom w:val="single" w:sz="6" w:space="0" w:color="auto"/>
      </w:pBdr>
      <w:tabs>
        <w:tab w:val="clear" w:pos="4536"/>
        <w:tab w:val="left" w:pos="6237"/>
      </w:tabs>
    </w:pPr>
  </w:p>
  <w:p w:rsidR="00E05B0E" w:rsidRDefault="00E05B0E">
    <w:pPr>
      <w:pStyle w:val="Stopka"/>
      <w:tabs>
        <w:tab w:val="clear" w:pos="4536"/>
      </w:tabs>
      <w:jc w:val="center"/>
    </w:pPr>
  </w:p>
  <w:p w:rsidR="00E05B0E" w:rsidRDefault="00E05B0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86C1C">
      <w:rPr>
        <w:rStyle w:val="Numerstrony"/>
        <w:noProof/>
      </w:rPr>
      <w:t>10</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C4F" w:rsidRDefault="005F3C4F">
      <w:r>
        <w:separator/>
      </w:r>
    </w:p>
  </w:footnote>
  <w:footnote w:type="continuationSeparator" w:id="0">
    <w:p w:rsidR="005F3C4F" w:rsidRDefault="005F3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38D" w:rsidRDefault="008D03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38D" w:rsidRDefault="008D03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38D" w:rsidRDefault="008D03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9B6192"/>
    <w:multiLevelType w:val="multilevel"/>
    <w:tmpl w:val="F442257A"/>
    <w:lvl w:ilvl="0">
      <w:start w:val="45"/>
      <w:numFmt w:val="decimal"/>
      <w:lvlText w:val="%1)"/>
      <w:lvlJc w:val="left"/>
      <w:pPr>
        <w:tabs>
          <w:tab w:val="num" w:pos="0"/>
        </w:tabs>
        <w:ind w:left="480" w:hanging="480"/>
      </w:pPr>
    </w:lvl>
    <w:lvl w:ilvl="1">
      <w:start w:val="45"/>
      <w:numFmt w:val="decimal"/>
      <w:lvlText w:val="%2)"/>
      <w:lvlJc w:val="left"/>
      <w:pPr>
        <w:tabs>
          <w:tab w:val="num" w:pos="720"/>
        </w:tabs>
        <w:ind w:left="1200" w:hanging="480"/>
      </w:pPr>
    </w:lvl>
    <w:lvl w:ilvl="2">
      <w:start w:val="45"/>
      <w:numFmt w:val="decimal"/>
      <w:lvlText w:val="%3)"/>
      <w:lvlJc w:val="left"/>
      <w:pPr>
        <w:tabs>
          <w:tab w:val="num" w:pos="1440"/>
        </w:tabs>
        <w:ind w:left="1920" w:hanging="480"/>
      </w:pPr>
    </w:lvl>
    <w:lvl w:ilvl="3">
      <w:start w:val="45"/>
      <w:numFmt w:val="decimal"/>
      <w:lvlText w:val="%4)"/>
      <w:lvlJc w:val="left"/>
      <w:pPr>
        <w:tabs>
          <w:tab w:val="num" w:pos="2160"/>
        </w:tabs>
        <w:ind w:left="2640" w:hanging="480"/>
      </w:pPr>
    </w:lvl>
    <w:lvl w:ilvl="4">
      <w:start w:val="45"/>
      <w:numFmt w:val="decimal"/>
      <w:lvlText w:val="%5)"/>
      <w:lvlJc w:val="left"/>
      <w:pPr>
        <w:tabs>
          <w:tab w:val="num" w:pos="2880"/>
        </w:tabs>
        <w:ind w:left="3360" w:hanging="480"/>
      </w:pPr>
    </w:lvl>
    <w:lvl w:ilvl="5">
      <w:start w:val="45"/>
      <w:numFmt w:val="decimal"/>
      <w:lvlText w:val="%6)"/>
      <w:lvlJc w:val="left"/>
      <w:pPr>
        <w:tabs>
          <w:tab w:val="num" w:pos="3600"/>
        </w:tabs>
        <w:ind w:left="4080" w:hanging="480"/>
      </w:pPr>
    </w:lvl>
    <w:lvl w:ilvl="6">
      <w:start w:val="45"/>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B3B19CD2"/>
    <w:multiLevelType w:val="multilevel"/>
    <w:tmpl w:val="1AB84B8C"/>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C640956B"/>
    <w:multiLevelType w:val="multilevel"/>
    <w:tmpl w:val="40E035A0"/>
    <w:lvl w:ilvl="0">
      <w:start w:val="12"/>
      <w:numFmt w:val="lowerLetter"/>
      <w:lvlText w:val="%1."/>
      <w:lvlJc w:val="left"/>
      <w:pPr>
        <w:tabs>
          <w:tab w:val="num" w:pos="0"/>
        </w:tabs>
        <w:ind w:left="480" w:hanging="480"/>
      </w:pPr>
    </w:lvl>
    <w:lvl w:ilvl="1">
      <w:start w:val="12"/>
      <w:numFmt w:val="lowerLetter"/>
      <w:lvlText w:val="%2."/>
      <w:lvlJc w:val="left"/>
      <w:pPr>
        <w:tabs>
          <w:tab w:val="num" w:pos="720"/>
        </w:tabs>
        <w:ind w:left="1200" w:hanging="480"/>
      </w:pPr>
    </w:lvl>
    <w:lvl w:ilvl="2">
      <w:start w:val="12"/>
      <w:numFmt w:val="lowerLetter"/>
      <w:lvlText w:val="%3."/>
      <w:lvlJc w:val="left"/>
      <w:pPr>
        <w:tabs>
          <w:tab w:val="num" w:pos="1440"/>
        </w:tabs>
        <w:ind w:left="1920" w:hanging="480"/>
      </w:pPr>
    </w:lvl>
    <w:lvl w:ilvl="3">
      <w:start w:val="12"/>
      <w:numFmt w:val="lowerLetter"/>
      <w:lvlText w:val="%4."/>
      <w:lvlJc w:val="left"/>
      <w:pPr>
        <w:tabs>
          <w:tab w:val="num" w:pos="2160"/>
        </w:tabs>
        <w:ind w:left="2640" w:hanging="480"/>
      </w:pPr>
    </w:lvl>
    <w:lvl w:ilvl="4">
      <w:start w:val="12"/>
      <w:numFmt w:val="lowerLetter"/>
      <w:lvlText w:val="%5."/>
      <w:lvlJc w:val="left"/>
      <w:pPr>
        <w:tabs>
          <w:tab w:val="num" w:pos="2880"/>
        </w:tabs>
        <w:ind w:left="3360" w:hanging="480"/>
      </w:pPr>
    </w:lvl>
    <w:lvl w:ilvl="5">
      <w:start w:val="12"/>
      <w:numFmt w:val="lowerLetter"/>
      <w:lvlText w:val="%6."/>
      <w:lvlJc w:val="left"/>
      <w:pPr>
        <w:tabs>
          <w:tab w:val="num" w:pos="3600"/>
        </w:tabs>
        <w:ind w:left="4080" w:hanging="480"/>
      </w:pPr>
    </w:lvl>
    <w:lvl w:ilvl="6">
      <w:start w:val="12"/>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CA9F8C50"/>
    <w:multiLevelType w:val="multilevel"/>
    <w:tmpl w:val="C65A1F6C"/>
    <w:lvl w:ilvl="0">
      <w:start w:val="6"/>
      <w:numFmt w:val="upperRoman"/>
      <w:lvlText w:val="%1."/>
      <w:lvlJc w:val="left"/>
      <w:pPr>
        <w:tabs>
          <w:tab w:val="num" w:pos="0"/>
        </w:tabs>
        <w:ind w:left="480" w:hanging="480"/>
      </w:pPr>
    </w:lvl>
    <w:lvl w:ilvl="1">
      <w:start w:val="6"/>
      <w:numFmt w:val="upperRoman"/>
      <w:lvlText w:val="%2."/>
      <w:lvlJc w:val="left"/>
      <w:pPr>
        <w:tabs>
          <w:tab w:val="num" w:pos="720"/>
        </w:tabs>
        <w:ind w:left="1200" w:hanging="480"/>
      </w:pPr>
    </w:lvl>
    <w:lvl w:ilvl="2">
      <w:start w:val="6"/>
      <w:numFmt w:val="upperRoman"/>
      <w:lvlText w:val="%3."/>
      <w:lvlJc w:val="left"/>
      <w:pPr>
        <w:tabs>
          <w:tab w:val="num" w:pos="1440"/>
        </w:tabs>
        <w:ind w:left="1920" w:hanging="480"/>
      </w:pPr>
    </w:lvl>
    <w:lvl w:ilvl="3">
      <w:start w:val="6"/>
      <w:numFmt w:val="upperRoman"/>
      <w:lvlText w:val="%4."/>
      <w:lvlJc w:val="left"/>
      <w:pPr>
        <w:tabs>
          <w:tab w:val="num" w:pos="2160"/>
        </w:tabs>
        <w:ind w:left="2640" w:hanging="480"/>
      </w:pPr>
    </w:lvl>
    <w:lvl w:ilvl="4">
      <w:start w:val="6"/>
      <w:numFmt w:val="upperRoman"/>
      <w:lvlText w:val="%5."/>
      <w:lvlJc w:val="left"/>
      <w:pPr>
        <w:tabs>
          <w:tab w:val="num" w:pos="2880"/>
        </w:tabs>
        <w:ind w:left="3360" w:hanging="480"/>
      </w:pPr>
    </w:lvl>
    <w:lvl w:ilvl="5">
      <w:start w:val="6"/>
      <w:numFmt w:val="upperRoman"/>
      <w:lvlText w:val="%6."/>
      <w:lvlJc w:val="left"/>
      <w:pPr>
        <w:tabs>
          <w:tab w:val="num" w:pos="3600"/>
        </w:tabs>
        <w:ind w:left="4080" w:hanging="480"/>
      </w:pPr>
    </w:lvl>
    <w:lvl w:ilvl="6">
      <w:start w:val="6"/>
      <w:numFmt w:val="upperRoman"/>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FC01E5FE"/>
    <w:multiLevelType w:val="multilevel"/>
    <w:tmpl w:val="AA5C048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6B2468C"/>
    <w:multiLevelType w:val="multilevel"/>
    <w:tmpl w:val="AB487880"/>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0" w15:restartNumberingAfterBreak="0">
    <w:nsid w:val="626D219F"/>
    <w:multiLevelType w:val="multilevel"/>
    <w:tmpl w:val="9A7C0D34"/>
    <w:lvl w:ilvl="0">
      <w:start w:val="4"/>
      <w:numFmt w:val="upperRoman"/>
      <w:lvlText w:val="%1."/>
      <w:lvlJc w:val="left"/>
      <w:pPr>
        <w:tabs>
          <w:tab w:val="num" w:pos="0"/>
        </w:tabs>
        <w:ind w:left="480" w:hanging="480"/>
      </w:pPr>
    </w:lvl>
    <w:lvl w:ilvl="1">
      <w:start w:val="4"/>
      <w:numFmt w:val="upperRoman"/>
      <w:lvlText w:val="%2."/>
      <w:lvlJc w:val="left"/>
      <w:pPr>
        <w:tabs>
          <w:tab w:val="num" w:pos="720"/>
        </w:tabs>
        <w:ind w:left="1200" w:hanging="480"/>
      </w:pPr>
    </w:lvl>
    <w:lvl w:ilvl="2">
      <w:start w:val="4"/>
      <w:numFmt w:val="upperRoman"/>
      <w:lvlText w:val="%3."/>
      <w:lvlJc w:val="left"/>
      <w:pPr>
        <w:tabs>
          <w:tab w:val="num" w:pos="1440"/>
        </w:tabs>
        <w:ind w:left="1920" w:hanging="480"/>
      </w:pPr>
    </w:lvl>
    <w:lvl w:ilvl="3">
      <w:start w:val="4"/>
      <w:numFmt w:val="upperRoman"/>
      <w:lvlText w:val="%4."/>
      <w:lvlJc w:val="left"/>
      <w:pPr>
        <w:tabs>
          <w:tab w:val="num" w:pos="2160"/>
        </w:tabs>
        <w:ind w:left="2640" w:hanging="480"/>
      </w:pPr>
    </w:lvl>
    <w:lvl w:ilvl="4">
      <w:start w:val="4"/>
      <w:numFmt w:val="upperRoman"/>
      <w:lvlText w:val="%5."/>
      <w:lvlJc w:val="left"/>
      <w:pPr>
        <w:tabs>
          <w:tab w:val="num" w:pos="2880"/>
        </w:tabs>
        <w:ind w:left="3360" w:hanging="480"/>
      </w:pPr>
    </w:lvl>
    <w:lvl w:ilvl="5">
      <w:start w:val="4"/>
      <w:numFmt w:val="upperRoman"/>
      <w:lvlText w:val="%6."/>
      <w:lvlJc w:val="left"/>
      <w:pPr>
        <w:tabs>
          <w:tab w:val="num" w:pos="3600"/>
        </w:tabs>
        <w:ind w:left="4080" w:hanging="480"/>
      </w:pPr>
    </w:lvl>
    <w:lvl w:ilvl="6">
      <w:start w:val="4"/>
      <w:numFmt w:val="upperRoman"/>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8"/>
  </w:num>
  <w:num w:numId="2">
    <w:abstractNumId w:val="13"/>
  </w:num>
  <w:num w:numId="3">
    <w:abstractNumId w:val="7"/>
  </w:num>
  <w:num w:numId="4">
    <w:abstractNumId w:val="12"/>
  </w:num>
  <w:num w:numId="5">
    <w:abstractNumId w:val="5"/>
  </w:num>
  <w:num w:numId="6">
    <w:abstractNumId w:val="6"/>
  </w:num>
  <w:num w:numId="7">
    <w:abstractNumId w:val="11"/>
  </w:num>
  <w:num w:numId="8">
    <w:abstractNumId w:val="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num>
  <w:num w:numId="9">
    <w:abstractNumId w:val="4"/>
  </w:num>
  <w:num w:numId="10">
    <w:abstractNumId w:val="10"/>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 w:numId="11">
    <w:abstractNumId w:val="3"/>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2">
    <w:abstractNumId w:val="0"/>
    <w:lvlOverride w:ilvl="0">
      <w:startOverride w:val="45"/>
    </w:lvlOverride>
    <w:lvlOverride w:ilvl="1">
      <w:startOverride w:val="45"/>
    </w:lvlOverride>
    <w:lvlOverride w:ilvl="2">
      <w:startOverride w:val="45"/>
    </w:lvlOverride>
    <w:lvlOverride w:ilvl="3">
      <w:startOverride w:val="45"/>
    </w:lvlOverride>
    <w:lvlOverride w:ilvl="4">
      <w:startOverride w:val="45"/>
    </w:lvlOverride>
    <w:lvlOverride w:ilvl="5">
      <w:startOverride w:val="45"/>
    </w:lvlOverride>
    <w:lvlOverride w:ilvl="6">
      <w:startOverride w:val="45"/>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3C4F"/>
    <w:rsid w:val="000027E3"/>
    <w:rsid w:val="00023A2B"/>
    <w:rsid w:val="00045F9A"/>
    <w:rsid w:val="00104E97"/>
    <w:rsid w:val="00131A31"/>
    <w:rsid w:val="0015133A"/>
    <w:rsid w:val="00160B91"/>
    <w:rsid w:val="00295D2D"/>
    <w:rsid w:val="003D3629"/>
    <w:rsid w:val="003E3499"/>
    <w:rsid w:val="004F211E"/>
    <w:rsid w:val="005076E8"/>
    <w:rsid w:val="00524F52"/>
    <w:rsid w:val="00527208"/>
    <w:rsid w:val="005F3C4F"/>
    <w:rsid w:val="00660A6D"/>
    <w:rsid w:val="00675119"/>
    <w:rsid w:val="007049A3"/>
    <w:rsid w:val="00750520"/>
    <w:rsid w:val="0077563A"/>
    <w:rsid w:val="007C5789"/>
    <w:rsid w:val="008035D6"/>
    <w:rsid w:val="008D038D"/>
    <w:rsid w:val="009F1D99"/>
    <w:rsid w:val="00A22125"/>
    <w:rsid w:val="00A6529A"/>
    <w:rsid w:val="00A743D9"/>
    <w:rsid w:val="00A863D0"/>
    <w:rsid w:val="00A86C1C"/>
    <w:rsid w:val="00B16212"/>
    <w:rsid w:val="00B40131"/>
    <w:rsid w:val="00B93280"/>
    <w:rsid w:val="00BB438E"/>
    <w:rsid w:val="00D91A30"/>
    <w:rsid w:val="00DE47B0"/>
    <w:rsid w:val="00E05B0E"/>
    <w:rsid w:val="00E23728"/>
    <w:rsid w:val="00E71B80"/>
    <w:rsid w:val="00ED5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AC087F5"/>
  <w15:chartTrackingRefBased/>
  <w15:docId w15:val="{19EA0C24-1620-49C4-8A06-0B05BD87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character" w:customStyle="1" w:styleId="TekstpodstawowywcityZnak">
    <w:name w:val="Tekst podstawowy wcięty Znak"/>
    <w:link w:val="Tekstpodstawowywcity"/>
    <w:locked/>
    <w:rsid w:val="00045F9A"/>
    <w:rPr>
      <w:sz w:val="24"/>
    </w:rPr>
  </w:style>
  <w:style w:type="paragraph" w:styleId="Tekstdymka">
    <w:name w:val="Balloon Text"/>
    <w:basedOn w:val="Normalny"/>
    <w:link w:val="TekstdymkaZnak"/>
    <w:rsid w:val="00A86C1C"/>
    <w:rPr>
      <w:rFonts w:ascii="Segoe UI" w:hAnsi="Segoe UI" w:cs="Segoe UI"/>
      <w:sz w:val="18"/>
      <w:szCs w:val="18"/>
    </w:rPr>
  </w:style>
  <w:style w:type="character" w:customStyle="1" w:styleId="TekstdymkaZnak">
    <w:name w:val="Tekst dymka Znak"/>
    <w:basedOn w:val="Domylnaczcionkaakapitu"/>
    <w:link w:val="Tekstdymka"/>
    <w:rsid w:val="00A86C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10</Pages>
  <Words>3830</Words>
  <Characters>25214</Characters>
  <Application>Microsoft Office Word</Application>
  <DocSecurity>0</DocSecurity>
  <Lines>210</Lines>
  <Paragraphs>57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5</cp:revision>
  <cp:lastPrinted>2019-05-13T08:00:00Z</cp:lastPrinted>
  <dcterms:created xsi:type="dcterms:W3CDTF">2019-05-13T06:45:00Z</dcterms:created>
  <dcterms:modified xsi:type="dcterms:W3CDTF">2019-05-13T08:00:00Z</dcterms:modified>
</cp:coreProperties>
</file>