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8062E7">
      <w:pPr>
        <w:pStyle w:val="a0"/>
        <w:tabs>
          <w:tab w:val="clear" w:pos="4536"/>
          <w:tab w:val="clear" w:pos="9072"/>
          <w:tab w:val="right" w:pos="7371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714A36" w:rsidRPr="00714A36">
        <w:rPr>
          <w:rFonts w:ascii="Verdana" w:hAnsi="Verdana"/>
          <w:sz w:val="16"/>
          <w:szCs w:val="16"/>
        </w:rPr>
        <w:t>KC-zp.272-283/19</w:t>
      </w:r>
      <w:r w:rsidR="008062E7">
        <w:rPr>
          <w:rFonts w:ascii="Verdana" w:hAnsi="Verdana"/>
          <w:sz w:val="16"/>
          <w:szCs w:val="16"/>
        </w:rPr>
        <w:t xml:space="preserve">       </w:t>
      </w:r>
      <w:r w:rsidR="00A4400A">
        <w:rPr>
          <w:rFonts w:ascii="Verdana" w:hAnsi="Verdana"/>
          <w:sz w:val="16"/>
          <w:szCs w:val="16"/>
        </w:rPr>
        <w:tab/>
      </w:r>
      <w:r w:rsidR="00714A36" w:rsidRPr="00714A36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714A36" w:rsidRPr="00714A36">
        <w:rPr>
          <w:rFonts w:ascii="Verdana" w:hAnsi="Verdana"/>
          <w:sz w:val="16"/>
          <w:szCs w:val="16"/>
        </w:rPr>
        <w:t>2019-05-10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Pr="00FC5804" w:rsidRDefault="008C4F84" w:rsidP="008062E7">
      <w:pPr>
        <w:ind w:left="947" w:hanging="907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8062E7">
        <w:rPr>
          <w:rFonts w:ascii="Verdana" w:hAnsi="Verdana"/>
          <w:u w:val="single"/>
        </w:rPr>
        <w:t>d</w:t>
      </w:r>
      <w:r w:rsidR="00714A36" w:rsidRPr="00714A36">
        <w:rPr>
          <w:rFonts w:ascii="Verdana" w:hAnsi="Verdana"/>
          <w:u w:val="single"/>
        </w:rPr>
        <w:t>ostaw</w:t>
      </w:r>
      <w:r w:rsidR="008062E7">
        <w:rPr>
          <w:rFonts w:ascii="Verdana" w:hAnsi="Verdana"/>
          <w:u w:val="single"/>
        </w:rPr>
        <w:t>ę</w:t>
      </w:r>
      <w:r w:rsidR="00714A36" w:rsidRPr="00714A36">
        <w:rPr>
          <w:rFonts w:ascii="Verdana" w:hAnsi="Verdana"/>
          <w:u w:val="single"/>
        </w:rPr>
        <w:t xml:space="preserve"> 100 szt.</w:t>
      </w:r>
      <w:r w:rsidR="008062E7">
        <w:rPr>
          <w:rFonts w:ascii="Verdana" w:hAnsi="Verdana"/>
          <w:u w:val="single"/>
        </w:rPr>
        <w:t xml:space="preserve"> </w:t>
      </w:r>
      <w:r w:rsidR="00714A36" w:rsidRPr="00714A36">
        <w:rPr>
          <w:rFonts w:ascii="Verdana" w:hAnsi="Verdana"/>
          <w:u w:val="single"/>
        </w:rPr>
        <w:t>zestawów komputerowych stacjonarnych z monitorami - KC-zp.272-283/19</w:t>
      </w:r>
      <w:r w:rsidRPr="00FC5804">
        <w:rPr>
          <w:rFonts w:ascii="Verdana" w:hAnsi="Verdana"/>
          <w:u w:val="single"/>
        </w:rPr>
        <w:t xml:space="preserve"> (</w:t>
      </w:r>
      <w:r w:rsidR="00714A36" w:rsidRPr="00714A36">
        <w:rPr>
          <w:rFonts w:ascii="Verdana" w:hAnsi="Verdana"/>
          <w:u w:val="single"/>
        </w:rPr>
        <w:t>przetarg nieograniczony</w:t>
      </w:r>
      <w:r w:rsidRPr="00FC5804">
        <w:rPr>
          <w:rFonts w:ascii="Verdana" w:hAnsi="Verdana"/>
          <w:u w:val="single"/>
        </w:rPr>
        <w:t>).</w:t>
      </w:r>
    </w:p>
    <w:p w:rsidR="00FE38B4" w:rsidRPr="00FC5804" w:rsidRDefault="00FE38B4" w:rsidP="00EE63AA">
      <w:pPr>
        <w:spacing w:line="360" w:lineRule="auto"/>
        <w:jc w:val="both"/>
        <w:rPr>
          <w:rFonts w:ascii="Verdana" w:hAnsi="Verdana"/>
        </w:rPr>
      </w:pPr>
      <w:r w:rsidRPr="00FC5804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FC5804">
        <w:rPr>
          <w:rFonts w:ascii="Verdana" w:hAnsi="Verdana"/>
        </w:rPr>
        <w:t>(</w:t>
      </w:r>
      <w:r w:rsidR="00F237A5">
        <w:rPr>
          <w:rFonts w:ascii="Verdana" w:hAnsi="Verdana"/>
        </w:rPr>
        <w:t>Dz. U. z  201</w:t>
      </w:r>
      <w:r w:rsidR="00A610D7">
        <w:rPr>
          <w:rFonts w:ascii="Verdana" w:hAnsi="Verdana"/>
        </w:rPr>
        <w:t>8</w:t>
      </w:r>
      <w:r w:rsidR="00291F6B" w:rsidRPr="00291F6B">
        <w:rPr>
          <w:rFonts w:ascii="Verdana" w:hAnsi="Verdana"/>
        </w:rPr>
        <w:t xml:space="preserve"> r. poz. </w:t>
      </w:r>
      <w:r w:rsidR="00A610D7">
        <w:rPr>
          <w:rFonts w:ascii="Verdana" w:hAnsi="Verdana"/>
        </w:rPr>
        <w:t>1986 ze zm.</w:t>
      </w:r>
      <w:r w:rsidR="00131389" w:rsidRPr="00FC5804">
        <w:rPr>
          <w:rFonts w:ascii="Verdana" w:hAnsi="Verdana"/>
        </w:rPr>
        <w:t xml:space="preserve">) </w:t>
      </w:r>
      <w:r w:rsidRPr="00FC5804">
        <w:rPr>
          <w:rFonts w:ascii="Verdana" w:hAnsi="Verdana"/>
        </w:rPr>
        <w:t xml:space="preserve">w postępowaniu prowadzonym w trybie </w:t>
      </w:r>
      <w:r w:rsidR="00714A36" w:rsidRPr="00714A36">
        <w:rPr>
          <w:rFonts w:ascii="Verdana" w:hAnsi="Verdana"/>
          <w:b/>
        </w:rPr>
        <w:t>przetarg nieograniczony</w:t>
      </w:r>
      <w:r w:rsidRPr="00FC5804">
        <w:rPr>
          <w:rFonts w:ascii="Verdana" w:hAnsi="Verdana"/>
        </w:rPr>
        <w:t xml:space="preserve">, na </w:t>
      </w:r>
      <w:r w:rsidR="008062E7">
        <w:rPr>
          <w:rFonts w:ascii="Verdana" w:hAnsi="Verdana"/>
          <w:b/>
        </w:rPr>
        <w:t>dostawę</w:t>
      </w:r>
      <w:r w:rsidR="00714A36" w:rsidRPr="00714A36">
        <w:rPr>
          <w:rFonts w:ascii="Verdana" w:hAnsi="Verdana"/>
          <w:b/>
        </w:rPr>
        <w:t xml:space="preserve"> 100 szt.</w:t>
      </w:r>
      <w:r w:rsidR="008062E7">
        <w:rPr>
          <w:rFonts w:ascii="Verdana" w:hAnsi="Verdana"/>
          <w:b/>
        </w:rPr>
        <w:t xml:space="preserve"> </w:t>
      </w:r>
      <w:r w:rsidR="00714A36" w:rsidRPr="00714A36">
        <w:rPr>
          <w:rFonts w:ascii="Verdana" w:hAnsi="Verdana"/>
          <w:b/>
        </w:rPr>
        <w:t>zestawów komputerowych stacjonarnych z monitorami - KC-zp.272-283/19</w:t>
      </w:r>
      <w:r w:rsidRPr="00FC5804">
        <w:rPr>
          <w:rFonts w:ascii="Verdana" w:hAnsi="Verdana"/>
        </w:rPr>
        <w:t>, dokonuje następujących zmian zapisów w specyfikacji istotnych warunków zamówienia:</w:t>
      </w:r>
    </w:p>
    <w:p w:rsidR="008062E7" w:rsidRPr="00D2784F" w:rsidRDefault="008062E7" w:rsidP="00FC5804">
      <w:pPr>
        <w:spacing w:line="360" w:lineRule="auto"/>
        <w:rPr>
          <w:rFonts w:ascii="Verdana" w:hAnsi="Verdana" w:cs="Arial"/>
          <w:b/>
        </w:rPr>
      </w:pPr>
      <w:r w:rsidRPr="00D2784F">
        <w:rPr>
          <w:rFonts w:ascii="Verdana" w:hAnsi="Verdana" w:cs="Arial"/>
          <w:b/>
        </w:rPr>
        <w:t>Poz.3.1</w:t>
      </w:r>
    </w:p>
    <w:p w:rsidR="008062E7" w:rsidRPr="008062E7" w:rsidRDefault="008062E7" w:rsidP="008062E7">
      <w:pPr>
        <w:spacing w:line="360" w:lineRule="auto"/>
        <w:jc w:val="both"/>
        <w:rPr>
          <w:rFonts w:ascii="Verdana" w:hAnsi="Verdana" w:cs="Arial"/>
        </w:rPr>
      </w:pPr>
      <w:r w:rsidRPr="008062E7">
        <w:rPr>
          <w:rFonts w:ascii="Verdana" w:hAnsi="Verdana" w:cs="Arial"/>
        </w:rPr>
        <w:t>Oprogramowanie</w:t>
      </w:r>
    </w:p>
    <w:p w:rsidR="008062E7" w:rsidRPr="008062E7" w:rsidRDefault="008062E7" w:rsidP="008062E7">
      <w:pPr>
        <w:spacing w:line="360" w:lineRule="auto"/>
        <w:jc w:val="both"/>
        <w:rPr>
          <w:rFonts w:ascii="Verdana" w:hAnsi="Verdana" w:cs="Arial"/>
          <w:u w:val="single"/>
        </w:rPr>
      </w:pPr>
      <w:r w:rsidRPr="008062E7">
        <w:rPr>
          <w:rFonts w:ascii="Verdana" w:hAnsi="Verdana" w:cs="Arial"/>
          <w:u w:val="single"/>
        </w:rPr>
        <w:t>Zamiast:</w:t>
      </w:r>
    </w:p>
    <w:p w:rsidR="008062E7" w:rsidRDefault="008062E7" w:rsidP="008062E7">
      <w:pPr>
        <w:spacing w:line="360" w:lineRule="auto"/>
        <w:jc w:val="both"/>
        <w:rPr>
          <w:rFonts w:ascii="Verdana" w:hAnsi="Verdana" w:cs="Courier New"/>
          <w:color w:val="000000"/>
          <w:sz w:val="18"/>
          <w:szCs w:val="18"/>
          <w:shd w:val="clear" w:color="auto" w:fill="FFFFFF"/>
        </w:rPr>
      </w:pPr>
      <w:r w:rsidRPr="008062E7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Oprogramowanie </w:t>
      </w:r>
      <w:proofErr w:type="spellStart"/>
      <w:r w:rsidRPr="008062E7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VMware</w:t>
      </w:r>
      <w:proofErr w:type="spellEnd"/>
      <w:r w:rsidRPr="008062E7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 Horizon Client (wymagana obsługa protokołów </w:t>
      </w:r>
      <w:proofErr w:type="spellStart"/>
      <w:r w:rsidRPr="008062E7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VMware</w:t>
      </w:r>
      <w:proofErr w:type="spellEnd"/>
      <w:r w:rsidRPr="008062E7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 Blast i </w:t>
      </w:r>
      <w:proofErr w:type="spellStart"/>
      <w:r w:rsidRPr="008062E7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VMware</w:t>
      </w:r>
      <w:proofErr w:type="spellEnd"/>
      <w:r w:rsidRPr="008062E7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 Blast Extreme)</w:t>
      </w:r>
    </w:p>
    <w:p w:rsidR="008062E7" w:rsidRPr="008062E7" w:rsidRDefault="008062E7" w:rsidP="008062E7">
      <w:pPr>
        <w:spacing w:line="360" w:lineRule="auto"/>
        <w:jc w:val="both"/>
        <w:rPr>
          <w:rFonts w:ascii="Verdana" w:hAnsi="Verdana" w:cs="Courier New"/>
          <w:color w:val="000000"/>
          <w:sz w:val="18"/>
          <w:szCs w:val="18"/>
          <w:u w:val="single"/>
        </w:rPr>
      </w:pPr>
      <w:r w:rsidRPr="008062E7">
        <w:rPr>
          <w:rFonts w:ascii="Verdana" w:hAnsi="Verdana" w:cs="Courier New"/>
          <w:color w:val="000000"/>
          <w:sz w:val="18"/>
          <w:szCs w:val="18"/>
          <w:u w:val="single"/>
        </w:rPr>
        <w:t>powinno być:</w:t>
      </w:r>
    </w:p>
    <w:p w:rsidR="007F3A2C" w:rsidRPr="00EE63AA" w:rsidRDefault="008062E7" w:rsidP="008062E7">
      <w:pPr>
        <w:spacing w:line="360" w:lineRule="auto"/>
        <w:jc w:val="both"/>
        <w:rPr>
          <w:rFonts w:ascii="Verdana" w:hAnsi="Verdana" w:cs="Arial"/>
          <w:b/>
        </w:rPr>
      </w:pPr>
      <w:r w:rsidRPr="008062E7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Oprogramowanie </w:t>
      </w:r>
      <w:proofErr w:type="spellStart"/>
      <w:r w:rsidRPr="008062E7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VMware</w:t>
      </w:r>
      <w:proofErr w:type="spellEnd"/>
      <w:r w:rsidRPr="008062E7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 Horizon Client (wymagana obsługa protokołów </w:t>
      </w:r>
      <w:proofErr w:type="spellStart"/>
      <w:r w:rsidRPr="008062E7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VMware</w:t>
      </w:r>
      <w:proofErr w:type="spellEnd"/>
      <w:r w:rsidRPr="008062E7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 Blast i </w:t>
      </w:r>
      <w:proofErr w:type="spellStart"/>
      <w:r w:rsidRPr="008062E7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VMware</w:t>
      </w:r>
      <w:proofErr w:type="spellEnd"/>
      <w:r w:rsidRPr="008062E7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 Blast Extreme)lub równoważne w pełni zgodne z</w:t>
      </w:r>
      <w:r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 </w:t>
      </w:r>
      <w:r w:rsidRPr="008062E7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wykorzystywanym przez Zamawiającego środowiskiem wirtualizacji stacji roboczych VDI opartym o</w:t>
      </w:r>
      <w:r w:rsidRPr="008062E7">
        <w:rPr>
          <w:rFonts w:ascii="Verdana" w:hAnsi="Verdana" w:cs="Cambria Math"/>
          <w:color w:val="000000"/>
          <w:sz w:val="18"/>
          <w:szCs w:val="18"/>
          <w:shd w:val="clear" w:color="auto" w:fill="FFFFFF"/>
        </w:rPr>
        <w:t> </w:t>
      </w:r>
      <w:r w:rsidRPr="008062E7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oprogramowanie </w:t>
      </w:r>
      <w:proofErr w:type="spellStart"/>
      <w:r w:rsidRPr="008062E7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VMware</w:t>
      </w:r>
      <w:proofErr w:type="spellEnd"/>
      <w:r w:rsidRPr="008062E7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 Horizon 7</w:t>
      </w:r>
      <w:r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.</w:t>
      </w:r>
      <w:r w:rsidRPr="008062E7">
        <w:rPr>
          <w:rFonts w:ascii="Verdana" w:hAnsi="Verdana" w:cs="Courier New"/>
          <w:color w:val="000000"/>
          <w:sz w:val="18"/>
          <w:szCs w:val="18"/>
        </w:rPr>
        <w:br/>
      </w:r>
      <w:r w:rsidR="007F3A2C" w:rsidRPr="00EE63AA">
        <w:rPr>
          <w:rFonts w:ascii="Verdana" w:hAnsi="Verdana" w:cs="Arial"/>
          <w:b/>
        </w:rPr>
        <w:t>Poz.7.5.1</w:t>
      </w:r>
    </w:p>
    <w:p w:rsidR="007F3A2C" w:rsidRPr="00EE63AA" w:rsidRDefault="007F3A2C" w:rsidP="008062E7">
      <w:pPr>
        <w:spacing w:line="360" w:lineRule="auto"/>
        <w:jc w:val="both"/>
        <w:rPr>
          <w:rFonts w:ascii="Verdana" w:hAnsi="Verdana" w:cs="Arial"/>
          <w:u w:val="single"/>
        </w:rPr>
      </w:pPr>
      <w:r w:rsidRPr="00EE63AA">
        <w:rPr>
          <w:rFonts w:ascii="Verdana" w:hAnsi="Verdana" w:cs="Arial"/>
          <w:u w:val="single"/>
        </w:rPr>
        <w:t>Zamiast:</w:t>
      </w:r>
    </w:p>
    <w:p w:rsidR="007F3A2C" w:rsidRDefault="007F3A2C" w:rsidP="00EE63AA">
      <w:pPr>
        <w:autoSpaceDE w:val="0"/>
        <w:autoSpaceDN w:val="0"/>
        <w:adjustRightInd w:val="0"/>
        <w:spacing w:after="110"/>
        <w:jc w:val="both"/>
        <w:rPr>
          <w:rFonts w:ascii="Verdana" w:eastAsia="Calibri" w:hAnsi="Verdana"/>
          <w:color w:val="000000"/>
          <w:sz w:val="18"/>
          <w:szCs w:val="18"/>
          <w:lang w:eastAsia="en-US"/>
        </w:rPr>
      </w:pPr>
      <w:r w:rsidRPr="00EE63AA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zamiast dokumentów, o których mowa w ust 7.4.1.1-4)  </w:t>
      </w:r>
    </w:p>
    <w:p w:rsidR="00EE63AA" w:rsidRPr="00EE63AA" w:rsidRDefault="00EE63AA" w:rsidP="00EE63AA">
      <w:pPr>
        <w:autoSpaceDE w:val="0"/>
        <w:autoSpaceDN w:val="0"/>
        <w:adjustRightInd w:val="0"/>
        <w:spacing w:after="110"/>
        <w:jc w:val="both"/>
        <w:rPr>
          <w:rFonts w:ascii="Verdana" w:eastAsia="Calibri" w:hAnsi="Verdana"/>
          <w:color w:val="000000"/>
          <w:sz w:val="18"/>
          <w:szCs w:val="18"/>
          <w:u w:val="single"/>
          <w:lang w:eastAsia="en-US"/>
        </w:rPr>
      </w:pPr>
      <w:r w:rsidRPr="00EE63AA">
        <w:rPr>
          <w:rFonts w:ascii="Verdana" w:eastAsia="Calibri" w:hAnsi="Verdana"/>
          <w:color w:val="000000"/>
          <w:sz w:val="18"/>
          <w:szCs w:val="18"/>
          <w:u w:val="single"/>
          <w:lang w:eastAsia="en-US"/>
        </w:rPr>
        <w:t>Powinno być:</w:t>
      </w:r>
    </w:p>
    <w:p w:rsidR="00EE63AA" w:rsidRDefault="00EE63AA" w:rsidP="00EE63AA">
      <w:pPr>
        <w:autoSpaceDE w:val="0"/>
        <w:autoSpaceDN w:val="0"/>
        <w:adjustRightInd w:val="0"/>
        <w:spacing w:after="110"/>
        <w:jc w:val="both"/>
        <w:rPr>
          <w:rFonts w:ascii="Verdana" w:eastAsia="Calibri" w:hAnsi="Verdana"/>
          <w:color w:val="000000"/>
          <w:sz w:val="18"/>
          <w:szCs w:val="18"/>
          <w:lang w:eastAsia="en-US"/>
        </w:rPr>
      </w:pPr>
      <w:r w:rsidRPr="00EE63AA">
        <w:rPr>
          <w:rFonts w:ascii="Verdana" w:eastAsia="Calibri" w:hAnsi="Verdana"/>
          <w:color w:val="000000"/>
          <w:sz w:val="18"/>
          <w:szCs w:val="18"/>
          <w:lang w:eastAsia="en-US"/>
        </w:rPr>
        <w:t>zamiast dokumentów, o których mowa w ust 7.4.1.1-</w:t>
      </w:r>
      <w:r w:rsidR="00555744">
        <w:rPr>
          <w:rFonts w:ascii="Verdana" w:eastAsia="Calibri" w:hAnsi="Verdana"/>
          <w:color w:val="000000"/>
          <w:sz w:val="18"/>
          <w:szCs w:val="18"/>
          <w:lang w:eastAsia="en-US"/>
        </w:rPr>
        <w:t>2</w:t>
      </w:r>
      <w:bookmarkStart w:id="0" w:name="_GoBack"/>
      <w:bookmarkEnd w:id="0"/>
      <w:r w:rsidRPr="00EE63AA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)  </w:t>
      </w:r>
    </w:p>
    <w:p w:rsidR="008062E7" w:rsidRPr="00D2784F" w:rsidRDefault="008062E7" w:rsidP="008062E7">
      <w:pPr>
        <w:spacing w:line="360" w:lineRule="auto"/>
        <w:jc w:val="both"/>
        <w:rPr>
          <w:rFonts w:ascii="Verdana" w:hAnsi="Verdana" w:cs="Arial"/>
          <w:u w:val="single"/>
        </w:rPr>
      </w:pPr>
      <w:r w:rsidRPr="00D2784F">
        <w:rPr>
          <w:rFonts w:ascii="Verdana" w:hAnsi="Verdana" w:cs="Arial"/>
          <w:u w:val="single"/>
        </w:rPr>
        <w:lastRenderedPageBreak/>
        <w:t>Zamawiający</w:t>
      </w:r>
      <w:r w:rsidR="00D2784F" w:rsidRPr="00D2784F">
        <w:rPr>
          <w:rFonts w:ascii="Verdana" w:hAnsi="Verdana" w:cs="Arial"/>
          <w:u w:val="single"/>
        </w:rPr>
        <w:t xml:space="preserve"> w </w:t>
      </w:r>
      <w:r w:rsidR="00D2784F" w:rsidRPr="00D2784F">
        <w:rPr>
          <w:rFonts w:ascii="Verdana" w:hAnsi="Verdana" w:cs="Arial"/>
          <w:b/>
          <w:u w:val="single"/>
        </w:rPr>
        <w:t>pkt 7.2 SIWZ</w:t>
      </w:r>
      <w:r w:rsidRPr="00D2784F">
        <w:rPr>
          <w:rFonts w:ascii="Verdana" w:hAnsi="Verdana" w:cs="Arial"/>
          <w:u w:val="single"/>
        </w:rPr>
        <w:t xml:space="preserve"> </w:t>
      </w:r>
      <w:r w:rsidR="00D2784F" w:rsidRPr="00D2784F">
        <w:rPr>
          <w:rFonts w:ascii="Verdana" w:hAnsi="Verdana" w:cs="Arial"/>
          <w:u w:val="single"/>
        </w:rPr>
        <w:t xml:space="preserve">usuwa </w:t>
      </w:r>
      <w:r w:rsidRPr="00D2784F">
        <w:rPr>
          <w:rFonts w:ascii="Verdana" w:hAnsi="Verdana" w:cs="Arial"/>
          <w:u w:val="single"/>
        </w:rPr>
        <w:t>następujące zapisy:</w:t>
      </w:r>
    </w:p>
    <w:p w:rsidR="00D2784F" w:rsidRPr="001017D3" w:rsidRDefault="00D2784F" w:rsidP="00D2784F">
      <w:pPr>
        <w:spacing w:before="60"/>
        <w:jc w:val="both"/>
        <w:outlineLvl w:val="1"/>
        <w:rPr>
          <w:bCs/>
          <w:iCs/>
          <w:sz w:val="22"/>
          <w:szCs w:val="22"/>
        </w:rPr>
      </w:pPr>
      <w:r w:rsidRPr="001017D3">
        <w:rPr>
          <w:bCs/>
          <w:iCs/>
          <w:sz w:val="22"/>
          <w:szCs w:val="22"/>
        </w:rPr>
        <w:t>b) Oświadczenie Wykonawcy o spełnianiu przez niego warunków udziału w postępowaniu. Wykonawca, może ograniczyć się do wypełniania sekcji α części IV formularza JEDZ.</w:t>
      </w:r>
    </w:p>
    <w:p w:rsidR="00D2784F" w:rsidRPr="00D2784F" w:rsidRDefault="00D2784F" w:rsidP="00D2784F">
      <w:pPr>
        <w:spacing w:before="60"/>
        <w:jc w:val="both"/>
        <w:outlineLvl w:val="1"/>
        <w:rPr>
          <w:rFonts w:ascii="Verdana" w:hAnsi="Verdana"/>
          <w:sz w:val="18"/>
          <w:szCs w:val="18"/>
          <w:lang w:eastAsia="zh-CN"/>
        </w:rPr>
      </w:pPr>
      <w:r w:rsidRPr="00D2784F">
        <w:rPr>
          <w:rFonts w:ascii="Verdana" w:hAnsi="Verdana"/>
          <w:sz w:val="18"/>
          <w:szCs w:val="18"/>
          <w:lang w:eastAsia="zh-CN"/>
        </w:rPr>
        <w:t xml:space="preserve">Jeżeli Wykonawca, powołuje się na zasoby podmiotów trzecich w celu wykazania spełniania warunków udziału w postępowaniu, składa także formularz JEDZ dotyczący tych podmiotów. Formularz JEDZ powinien być wypełniony w zakresie, w jakim Wykonawca korzysta z zasobów podmiotu trzeciego. JEDZ powinien dotyczyć także weryfikacji podstaw wykluczenia podmiotu trzeciego.  </w:t>
      </w:r>
    </w:p>
    <w:p w:rsidR="00D2784F" w:rsidRDefault="00D2784F" w:rsidP="008062E7">
      <w:pPr>
        <w:spacing w:line="360" w:lineRule="auto"/>
        <w:jc w:val="both"/>
        <w:rPr>
          <w:rFonts w:ascii="Verdana" w:hAnsi="Verdana" w:cs="Arial"/>
        </w:rPr>
      </w:pPr>
    </w:p>
    <w:p w:rsidR="008062E7" w:rsidRPr="007F3A2C" w:rsidRDefault="00D2784F" w:rsidP="008062E7">
      <w:pPr>
        <w:spacing w:line="360" w:lineRule="auto"/>
        <w:jc w:val="both"/>
        <w:rPr>
          <w:rFonts w:ascii="Verdana" w:hAnsi="Verdana" w:cs="Arial"/>
          <w:u w:val="single"/>
        </w:rPr>
      </w:pPr>
      <w:r w:rsidRPr="007F3A2C">
        <w:rPr>
          <w:rFonts w:ascii="Verdana" w:hAnsi="Verdana" w:cs="Arial"/>
          <w:u w:val="single"/>
        </w:rPr>
        <w:t xml:space="preserve">Zamawiający dodaje do SIWZ </w:t>
      </w:r>
      <w:r w:rsidRPr="007F3A2C">
        <w:rPr>
          <w:rFonts w:ascii="Verdana" w:hAnsi="Verdana" w:cs="Arial"/>
          <w:b/>
          <w:u w:val="single"/>
        </w:rPr>
        <w:t>pkt14.3a</w:t>
      </w:r>
      <w:r w:rsidRPr="007F3A2C">
        <w:rPr>
          <w:rFonts w:ascii="Verdana" w:hAnsi="Verdana" w:cs="Arial"/>
          <w:u w:val="single"/>
        </w:rPr>
        <w:t xml:space="preserve"> o następującym brzmieniu:</w:t>
      </w:r>
    </w:p>
    <w:p w:rsidR="007F3A2C" w:rsidRPr="007F3A2C" w:rsidRDefault="007F3A2C" w:rsidP="007F3A2C">
      <w:pPr>
        <w:numPr>
          <w:ilvl w:val="1"/>
          <w:numId w:val="0"/>
        </w:numPr>
        <w:tabs>
          <w:tab w:val="num" w:pos="0"/>
        </w:tabs>
        <w:spacing w:before="60" w:after="120"/>
        <w:jc w:val="both"/>
        <w:outlineLvl w:val="1"/>
        <w:rPr>
          <w:bCs/>
          <w:iCs/>
          <w:color w:val="000000"/>
          <w:sz w:val="24"/>
          <w:szCs w:val="24"/>
        </w:rPr>
      </w:pPr>
      <w:r w:rsidRPr="007F3A2C">
        <w:rPr>
          <w:rFonts w:eastAsia="Calibri"/>
          <w:bCs/>
          <w:iCs/>
          <w:color w:val="000000"/>
          <w:sz w:val="24"/>
          <w:szCs w:val="24"/>
          <w:lang w:eastAsia="en-US"/>
        </w:rPr>
        <w:t>Zamawiający oświadcza, że zgodnie z Ustawą z dnia 11 marca 2004 r. o podatku od towarów i usług (Dz.U.2011.177.1054 z późniejszymi zmianami.) będzie ubiegał się o zgodę na zastosowanie stawki podatku VAT w wysokości 0% na zestawy komputerowe i  monitory wchodzące w skład niniejszego zamówienia.</w:t>
      </w:r>
    </w:p>
    <w:p w:rsidR="00D2784F" w:rsidRDefault="00D2784F" w:rsidP="008062E7">
      <w:pPr>
        <w:spacing w:line="360" w:lineRule="auto"/>
        <w:jc w:val="both"/>
        <w:rPr>
          <w:rFonts w:ascii="Verdana" w:hAnsi="Verdana" w:cs="Arial"/>
        </w:rPr>
      </w:pPr>
    </w:p>
    <w:p w:rsidR="00AD0962" w:rsidRDefault="00AD0962" w:rsidP="008062E7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Zamawiający wprowadza nowy wzór formularza oferty.</w:t>
      </w:r>
    </w:p>
    <w:p w:rsidR="00AD0962" w:rsidRPr="008062E7" w:rsidRDefault="00AD0962" w:rsidP="008062E7">
      <w:pPr>
        <w:spacing w:line="360" w:lineRule="auto"/>
        <w:jc w:val="both"/>
        <w:rPr>
          <w:rFonts w:ascii="Verdana" w:hAnsi="Verdana" w:cs="Arial"/>
        </w:rPr>
      </w:pPr>
    </w:p>
    <w:p w:rsidR="00533643" w:rsidRPr="00EE63AA" w:rsidRDefault="00533643" w:rsidP="00FC5804">
      <w:pPr>
        <w:spacing w:line="360" w:lineRule="auto"/>
        <w:rPr>
          <w:rFonts w:ascii="Verdana" w:hAnsi="Verdana"/>
          <w:i/>
          <w:sz w:val="24"/>
          <w:szCs w:val="24"/>
        </w:rPr>
      </w:pPr>
      <w:r w:rsidRPr="00EE63AA">
        <w:rPr>
          <w:rFonts w:ascii="Verdana" w:hAnsi="Verdana" w:cs="Arial"/>
          <w:i/>
        </w:rPr>
        <w:t>Powyższe zmiany stanowią integralną część SIWZ.</w:t>
      </w:r>
    </w:p>
    <w:p w:rsidR="004120EE" w:rsidRPr="00EE63AA" w:rsidRDefault="00533643" w:rsidP="00FC5804">
      <w:pPr>
        <w:spacing w:line="360" w:lineRule="auto"/>
        <w:jc w:val="both"/>
        <w:rPr>
          <w:rFonts w:ascii="Verdana" w:hAnsi="Verdana" w:cs="Arial"/>
          <w:i/>
        </w:rPr>
      </w:pPr>
      <w:r w:rsidRPr="00EE63AA">
        <w:rPr>
          <w:rFonts w:ascii="Verdana" w:hAnsi="Verdana" w:cs="Arial"/>
          <w:i/>
        </w:rPr>
        <w:t xml:space="preserve">Przedmiotowa zmiana nie prowadzi do zmiany treści ogłoszenia.                             </w:t>
      </w: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EE63AA" w:rsidRDefault="00EE63AA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4120EE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</w:t>
      </w:r>
    </w:p>
    <w:p w:rsidR="004120EE" w:rsidRPr="00FC5804" w:rsidRDefault="004120EE" w:rsidP="004120EE">
      <w:pPr>
        <w:jc w:val="right"/>
        <w:rPr>
          <w:rFonts w:ascii="Verdana" w:hAnsi="Verdana"/>
        </w:rPr>
      </w:pPr>
      <w:r>
        <w:rPr>
          <w:rFonts w:ascii="Verdana" w:hAnsi="Verdana" w:cs="Arial"/>
        </w:rPr>
        <w:t>mgr inż. Henryk Zioło</w:t>
      </w:r>
    </w:p>
    <w:sectPr w:rsidR="004120EE" w:rsidRPr="00FC5804" w:rsidSect="00FF1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39" w:rsidRDefault="00A01639">
      <w:r>
        <w:separator/>
      </w:r>
    </w:p>
  </w:endnote>
  <w:endnote w:type="continuationSeparator" w:id="0">
    <w:p w:rsidR="00A01639" w:rsidRDefault="00A0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36" w:rsidRDefault="00714A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36" w:rsidRDefault="00714A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555744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39" w:rsidRDefault="00A01639">
      <w:r>
        <w:separator/>
      </w:r>
    </w:p>
  </w:footnote>
  <w:footnote w:type="continuationSeparator" w:id="0">
    <w:p w:rsidR="00A01639" w:rsidRDefault="00A01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36" w:rsidRDefault="00714A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555744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555744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2CCF"/>
    <w:multiLevelType w:val="multilevel"/>
    <w:tmpl w:val="F8C423A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639"/>
    <w:rsid w:val="001010E7"/>
    <w:rsid w:val="00107D8E"/>
    <w:rsid w:val="00131389"/>
    <w:rsid w:val="00212561"/>
    <w:rsid w:val="00237ABF"/>
    <w:rsid w:val="00291F6B"/>
    <w:rsid w:val="002A40A9"/>
    <w:rsid w:val="00326D02"/>
    <w:rsid w:val="003B2A6D"/>
    <w:rsid w:val="003D5AD2"/>
    <w:rsid w:val="004120EE"/>
    <w:rsid w:val="004F1FDE"/>
    <w:rsid w:val="00533643"/>
    <w:rsid w:val="00555744"/>
    <w:rsid w:val="00572A34"/>
    <w:rsid w:val="00575520"/>
    <w:rsid w:val="005A0A5D"/>
    <w:rsid w:val="006118E3"/>
    <w:rsid w:val="00637D16"/>
    <w:rsid w:val="00674FE5"/>
    <w:rsid w:val="006A220D"/>
    <w:rsid w:val="006E739F"/>
    <w:rsid w:val="00714A36"/>
    <w:rsid w:val="007A7AD9"/>
    <w:rsid w:val="007B1BCF"/>
    <w:rsid w:val="007F3A2C"/>
    <w:rsid w:val="007F6115"/>
    <w:rsid w:val="008062E7"/>
    <w:rsid w:val="008449B9"/>
    <w:rsid w:val="008A23F6"/>
    <w:rsid w:val="008C4F84"/>
    <w:rsid w:val="00913596"/>
    <w:rsid w:val="00A01639"/>
    <w:rsid w:val="00A24BB8"/>
    <w:rsid w:val="00A4400A"/>
    <w:rsid w:val="00A610D7"/>
    <w:rsid w:val="00A70DEB"/>
    <w:rsid w:val="00AD0962"/>
    <w:rsid w:val="00BE75FD"/>
    <w:rsid w:val="00BF5D1E"/>
    <w:rsid w:val="00CE01F2"/>
    <w:rsid w:val="00D2784F"/>
    <w:rsid w:val="00D50323"/>
    <w:rsid w:val="00DC2E5C"/>
    <w:rsid w:val="00DC57A1"/>
    <w:rsid w:val="00E02ACD"/>
    <w:rsid w:val="00E33567"/>
    <w:rsid w:val="00E431FD"/>
    <w:rsid w:val="00E96BBD"/>
    <w:rsid w:val="00EE63AA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3A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3A2C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32</TotalTime>
  <Pages>2</Pages>
  <Words>310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Jolata Oleksy</dc:creator>
  <cp:keywords/>
  <dc:description/>
  <cp:lastModifiedBy>Jolata Oleksy</cp:lastModifiedBy>
  <cp:revision>5</cp:revision>
  <cp:lastPrinted>1900-12-31T22:00:00Z</cp:lastPrinted>
  <dcterms:created xsi:type="dcterms:W3CDTF">2019-05-10T08:06:00Z</dcterms:created>
  <dcterms:modified xsi:type="dcterms:W3CDTF">2019-05-10T09:53:00Z</dcterms:modified>
</cp:coreProperties>
</file>