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015C4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B67C55" w:rsidRPr="005E7D20">
        <w:rPr>
          <w:rFonts w:ascii="Verdana" w:hAnsi="Verdana"/>
          <w:sz w:val="16"/>
          <w:szCs w:val="16"/>
        </w:rPr>
        <w:t>Kraków</w:t>
      </w:r>
      <w:r w:rsidR="00DF0345" w:rsidRPr="005E7D20">
        <w:rPr>
          <w:rFonts w:ascii="Verdana" w:hAnsi="Verdana"/>
          <w:sz w:val="16"/>
          <w:szCs w:val="16"/>
        </w:rPr>
        <w:t>,</w:t>
      </w:r>
      <w:r w:rsidRPr="005E7D20">
        <w:rPr>
          <w:rFonts w:ascii="Verdana" w:hAnsi="Verdana"/>
          <w:sz w:val="16"/>
          <w:szCs w:val="16"/>
        </w:rPr>
        <w:t xml:space="preserve"> </w:t>
      </w:r>
      <w:r w:rsidR="00F13309" w:rsidRPr="005E7D20">
        <w:rPr>
          <w:rFonts w:ascii="Verdana" w:hAnsi="Verdana"/>
          <w:sz w:val="16"/>
          <w:szCs w:val="16"/>
        </w:rPr>
        <w:t>2019-05</w:t>
      </w:r>
      <w:r w:rsidR="00B67C55" w:rsidRPr="005E7D20">
        <w:rPr>
          <w:rFonts w:ascii="Verdana" w:hAnsi="Verdana"/>
          <w:sz w:val="16"/>
          <w:szCs w:val="16"/>
        </w:rPr>
        <w:t>-</w:t>
      </w:r>
      <w:r w:rsidR="00F13309" w:rsidRPr="005E7D20">
        <w:rPr>
          <w:rFonts w:ascii="Verdana" w:hAnsi="Verdana"/>
          <w:sz w:val="16"/>
          <w:szCs w:val="16"/>
        </w:rPr>
        <w:t>06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225288">
        <w:rPr>
          <w:rFonts w:ascii="Verdana" w:hAnsi="Verdana"/>
          <w:sz w:val="20"/>
        </w:rPr>
        <w:t xml:space="preserve"> 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6015C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67C55" w:rsidRPr="00B67C55">
        <w:rPr>
          <w:rFonts w:ascii="Verdana" w:hAnsi="Verdana"/>
          <w:b/>
          <w:sz w:val="20"/>
        </w:rPr>
        <w:t>2019-04-25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67C55" w:rsidRPr="00B67C55">
        <w:rPr>
          <w:rFonts w:ascii="Verdana" w:hAnsi="Verdana"/>
          <w:b/>
          <w:sz w:val="20"/>
        </w:rPr>
        <w:t>przetarg nieograniczony</w:t>
      </w:r>
      <w:r w:rsidR="006015C4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B67C55" w:rsidRPr="00B67C55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6015C4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 w:rsidP="006015C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5F5B5F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5F5B5F" w:rsidRPr="005F5B5F" w:rsidRDefault="005F5B5F" w:rsidP="005F5B5F">
      <w:pPr>
        <w:numPr>
          <w:ilvl w:val="0"/>
          <w:numId w:val="3"/>
        </w:num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</w:rPr>
        <w:t>Prosimy o dostarczenie załącznika do dokumentacji pn. „Zakres placu budowy” o którym mowa w SIWZ na str. 15.</w:t>
      </w:r>
    </w:p>
    <w:p w:rsidR="005F5B5F" w:rsidRPr="00F13309" w:rsidRDefault="005F5B5F" w:rsidP="00F13309">
      <w:pPr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  <w:b/>
        </w:rPr>
        <w:t>Odp.:</w:t>
      </w:r>
      <w:r w:rsidRPr="005F5B5F">
        <w:rPr>
          <w:rFonts w:ascii="Verdana" w:hAnsi="Verdana"/>
        </w:rPr>
        <w:t xml:space="preserve"> </w:t>
      </w:r>
      <w:r w:rsidRPr="005F5B5F">
        <w:rPr>
          <w:rFonts w:ascii="Verdana" w:hAnsi="Verdana"/>
          <w:b/>
        </w:rPr>
        <w:t>Załącznik do dokumentacji pn.</w:t>
      </w:r>
      <w:r>
        <w:rPr>
          <w:rFonts w:ascii="Verdana" w:hAnsi="Verdana"/>
          <w:b/>
        </w:rPr>
        <w:t xml:space="preserve"> „Zakres placu budowy” o którym </w:t>
      </w:r>
      <w:r w:rsidRPr="005F5B5F">
        <w:rPr>
          <w:rFonts w:ascii="Verdana" w:hAnsi="Verdana"/>
          <w:b/>
        </w:rPr>
        <w:t>mowa w SIWZ na str. 15.znajduje się w poniższym linku:</w:t>
      </w:r>
    </w:p>
    <w:p w:rsidR="005F5B5F" w:rsidRDefault="00181EAD" w:rsidP="005F5B5F">
      <w:pPr>
        <w:contextualSpacing/>
        <w:jc w:val="both"/>
        <w:rPr>
          <w:rFonts w:ascii="Verdana" w:hAnsi="Verdana"/>
          <w:color w:val="0000FF"/>
          <w:u w:val="single"/>
        </w:rPr>
      </w:pPr>
      <w:hyperlink r:id="rId8" w:history="1">
        <w:r w:rsidR="005F5B5F" w:rsidRPr="005F5B5F">
          <w:rPr>
            <w:rFonts w:ascii="Verdana" w:hAnsi="Verdana"/>
            <w:color w:val="0000FF"/>
            <w:u w:val="single"/>
          </w:rPr>
          <w:t>http://di.adm.agh.edu.pl/przetargi/di/zj/Budowa-budynku-dla-WFiIS/uzupelnione-w-trakcie-przetargu/</w:t>
        </w:r>
      </w:hyperlink>
    </w:p>
    <w:p w:rsidR="005F5B5F" w:rsidRPr="005F5B5F" w:rsidRDefault="005F5B5F" w:rsidP="005F5B5F">
      <w:pPr>
        <w:contextualSpacing/>
        <w:jc w:val="both"/>
        <w:rPr>
          <w:rFonts w:ascii="Verdana" w:hAnsi="Verdana"/>
        </w:rPr>
      </w:pPr>
    </w:p>
    <w:p w:rsidR="005F5B5F" w:rsidRPr="005F5B5F" w:rsidRDefault="005F5B5F" w:rsidP="005F5B5F">
      <w:pPr>
        <w:numPr>
          <w:ilvl w:val="0"/>
          <w:numId w:val="3"/>
        </w:num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</w:rPr>
        <w:t>Czy w ofercie należy ująć całe grodzie przeciwpowodziowe (belki + gniazda na ścianach z ceowników) czy tylko same ceowniki na ścianach? – prosimy o wyjaśnienie.</w:t>
      </w:r>
    </w:p>
    <w:p w:rsidR="005F5B5F" w:rsidRDefault="005F5B5F" w:rsidP="005F5B5F">
      <w:pPr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</w:rPr>
        <w:t>W</w:t>
      </w:r>
      <w:r w:rsidRPr="005F5B5F">
        <w:rPr>
          <w:rFonts w:ascii="Verdana" w:hAnsi="Verdana"/>
          <w:b/>
        </w:rPr>
        <w:t xml:space="preserve"> ofe</w:t>
      </w:r>
      <w:r>
        <w:rPr>
          <w:rFonts w:ascii="Verdana" w:hAnsi="Verdana"/>
          <w:b/>
        </w:rPr>
        <w:t xml:space="preserve">rcie należy ująć komplet grodzi </w:t>
      </w:r>
      <w:r w:rsidRPr="005F5B5F">
        <w:rPr>
          <w:rFonts w:ascii="Verdana" w:hAnsi="Verdana"/>
          <w:b/>
        </w:rPr>
        <w:t xml:space="preserve">przeciwpowodziowych tzn. gniazda + belki. </w:t>
      </w:r>
    </w:p>
    <w:p w:rsidR="005F5B5F" w:rsidRPr="005F5B5F" w:rsidRDefault="005F5B5F" w:rsidP="005F5B5F">
      <w:pPr>
        <w:contextualSpacing/>
        <w:jc w:val="both"/>
        <w:rPr>
          <w:rFonts w:ascii="Verdana" w:hAnsi="Verdana"/>
          <w:b/>
        </w:rPr>
      </w:pPr>
    </w:p>
    <w:p w:rsidR="005F5B5F" w:rsidRPr="005F5B5F" w:rsidRDefault="005F5B5F" w:rsidP="005F5B5F">
      <w:pPr>
        <w:numPr>
          <w:ilvl w:val="0"/>
          <w:numId w:val="3"/>
        </w:num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</w:rPr>
        <w:t>Prosimy o dostarczenie warunków zasilania tymczasowego placu budowy w media tj. prąd, woda itp.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  <w:b/>
        </w:rPr>
        <w:t>Odp.:</w:t>
      </w:r>
      <w:r w:rsidRPr="005F5B5F">
        <w:rPr>
          <w:rFonts w:ascii="Verdana" w:hAnsi="Verdana"/>
        </w:rPr>
        <w:t xml:space="preserve"> </w:t>
      </w:r>
      <w:r w:rsidRPr="005F5B5F">
        <w:rPr>
          <w:rFonts w:ascii="Verdana" w:hAnsi="Verdana"/>
          <w:b/>
        </w:rPr>
        <w:t>Zamawiający informuje, że dla instalacji eklektycznych: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 xml:space="preserve">- warunki zasilania tymczasowego placu budowy zostaną wystawione po </w:t>
      </w:r>
      <w:r w:rsidR="00F13309">
        <w:rPr>
          <w:rFonts w:ascii="Verdana" w:hAnsi="Verdana"/>
          <w:b/>
        </w:rPr>
        <w:t>wcześniejszym</w:t>
      </w:r>
      <w:r w:rsidR="005E7D20">
        <w:rPr>
          <w:rFonts w:ascii="Verdana" w:hAnsi="Verdana"/>
          <w:b/>
        </w:rPr>
        <w:t xml:space="preserve"> wniosku złożonym przez </w:t>
      </w:r>
      <w:r w:rsidRPr="005F5B5F">
        <w:rPr>
          <w:rFonts w:ascii="Verdana" w:hAnsi="Verdana"/>
          <w:b/>
        </w:rPr>
        <w:t>Wykonawcę do Sektora Technicznego AGH, zawierającego informację o zapotrzebowaniu na moc elektryczną</w:t>
      </w:r>
      <w:r w:rsidR="00F13309">
        <w:rPr>
          <w:rFonts w:ascii="Verdana" w:hAnsi="Verdana"/>
          <w:b/>
        </w:rPr>
        <w:t>,</w:t>
      </w:r>
      <w:r w:rsidRPr="005F5B5F">
        <w:rPr>
          <w:rFonts w:ascii="Verdana" w:hAnsi="Verdana"/>
          <w:b/>
        </w:rPr>
        <w:t xml:space="preserve"> 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 xml:space="preserve">- dla instalacji elektrycznej Zamawiający będzie wymagał legalizowanego układu pomiarowego przystosowanego do zaplombowania z możliwością odczytu przez </w:t>
      </w:r>
      <w:proofErr w:type="spellStart"/>
      <w:r w:rsidRPr="005F5B5F">
        <w:rPr>
          <w:rFonts w:ascii="Verdana" w:hAnsi="Verdana"/>
          <w:b/>
        </w:rPr>
        <w:t>optozłącze</w:t>
      </w:r>
      <w:proofErr w:type="spellEnd"/>
      <w:r w:rsidRPr="005F5B5F">
        <w:rPr>
          <w:rFonts w:ascii="Verdana" w:hAnsi="Verdana"/>
          <w:b/>
        </w:rPr>
        <w:t xml:space="preserve"> dostosowanego do pobieranej na potrzeby placu budowy </w:t>
      </w:r>
      <w:r w:rsidRPr="005F5B5F">
        <w:rPr>
          <w:rFonts w:ascii="Verdana" w:hAnsi="Verdana"/>
          <w:b/>
        </w:rPr>
        <w:lastRenderedPageBreak/>
        <w:t xml:space="preserve">mocy,  współpracującego z istniejącym na Uczelni systemem odczytowym </w:t>
      </w:r>
      <w:proofErr w:type="spellStart"/>
      <w:r w:rsidRPr="005F5B5F">
        <w:rPr>
          <w:rFonts w:ascii="Verdana" w:hAnsi="Verdana"/>
          <w:b/>
        </w:rPr>
        <w:t>Skaden</w:t>
      </w:r>
      <w:proofErr w:type="spellEnd"/>
      <w:r w:rsidRPr="005F5B5F">
        <w:rPr>
          <w:rFonts w:ascii="Verdana" w:hAnsi="Verdana"/>
          <w:b/>
        </w:rPr>
        <w:t>.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dla instalacji elektrycznej układ pomiarowo-rozliczeniowy należy wyposażyć w trójstrefowy licznik energii elektrycznej czynnej i biernej. Zalecany do zastosowania jest licznik en. el. EQABP produkcji firmy Pozyton – szczegółowy zostanie ustalony z Działem Elektrycznym na etapie wydawania warunków zasilania placu budowy,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dla instalacji elektrycznej układ pomiarowo-rozliczeniowy zlokalizowany powinien być obok określonego przyłącza. Dostęp do niego w dowolnej chwili muszą mieć obie strony (Dostawca i Odbiorca),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w warunkach określonych przez Dział Elektryczny zostanie ustalona granica stron w kierunku instalacji Odbiorcy,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 xml:space="preserve">- dla instalacji elektrycznej układ pomiarowy należy wyposażyć w zabezpieczenia </w:t>
      </w:r>
      <w:proofErr w:type="spellStart"/>
      <w:r w:rsidRPr="005F5B5F">
        <w:rPr>
          <w:rFonts w:ascii="Verdana" w:hAnsi="Verdana"/>
          <w:b/>
        </w:rPr>
        <w:t>przedlicznikowe</w:t>
      </w:r>
      <w:proofErr w:type="spellEnd"/>
      <w:r w:rsidRPr="005F5B5F">
        <w:rPr>
          <w:rFonts w:ascii="Verdana" w:hAnsi="Verdana"/>
          <w:b/>
        </w:rPr>
        <w:t xml:space="preserve"> nadmiarowo-prądowe przystosowane do plombowania,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projekt układu pomiarowo-rozliczeniowego należy zatwierdzić  w Dziale Eklektycznym,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po zabudowie układu pomiarowego należy przedstawić protokół z pomiaru poprawności działania układu pomiarowo-rozliczeniowego,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pomiar energii elektrycznej odbywał się będzie na napięciu 0,4kV,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 przeniesienie kosztów za zasilanie przedmiotowego placu budowy będzie zawierała opłaty za zużytą energię elektryczną  (wg. obowiązującej w danej chwili taryfy B23  oraz obowiązującej ceny sprzedaży energii elektrycznej dla AGH),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dalsze informacje związane z prowadzeniem przeniesienia kosztów za zużytą energię elektryczna zostaną zawarte w osobnej Umowie,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przed uruchomieniem instalacji należy wykonać wymagane pomiary elektryczne dla instalacji zasilającej i przedłożyć je w DT-AGH,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szczegóły wykonawcze należy uzgadniać na bieżąco z Działem Elektrycznym AGH,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należy przyjąć napięcie zasilania 3x400/230V oraz system ochrony przed rażeniem TN-C,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prace ziemne w okolicach ułożonych instalacji energetycznych należy bezwzględnie prowadzić przy wykorzystaniu sprzętu ręcznego,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- wszelkie prace zanikowe przed wykonaniem należy zgłaszać do Działu Elektrycznego AGH i wykonywać pod ich nadzorem.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Zamawiający informuje, że dla instalacji sanitarnych:</w:t>
      </w:r>
    </w:p>
    <w:p w:rsidR="005F5B5F" w:rsidRPr="005F5B5F" w:rsidRDefault="005F5B5F" w:rsidP="005F5B5F">
      <w:pPr>
        <w:ind w:firstLine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Warunki zasilania ty</w:t>
      </w:r>
      <w:r>
        <w:rPr>
          <w:rFonts w:ascii="Verdana" w:hAnsi="Verdana"/>
          <w:b/>
        </w:rPr>
        <w:t xml:space="preserve">mczasowego placu budowy zostaną </w:t>
      </w:r>
      <w:r w:rsidRPr="005F5B5F">
        <w:rPr>
          <w:rFonts w:ascii="Verdana" w:hAnsi="Verdana"/>
          <w:b/>
        </w:rPr>
        <w:t xml:space="preserve">wystawione po </w:t>
      </w:r>
      <w:r w:rsidR="00F13309">
        <w:rPr>
          <w:rFonts w:ascii="Verdana" w:hAnsi="Verdana"/>
          <w:b/>
        </w:rPr>
        <w:t>wcześniejszym</w:t>
      </w:r>
      <w:r w:rsidRPr="005F5B5F">
        <w:rPr>
          <w:rFonts w:ascii="Verdana" w:hAnsi="Verdana"/>
          <w:b/>
        </w:rPr>
        <w:t xml:space="preserve"> wniosku złożonym przez Wykonawcę do Sektora Technicznego AGH, zawierającego informację o zapotrzebowaniu na wodę, kanalizację, ciepło itp. </w:t>
      </w:r>
    </w:p>
    <w:p w:rsidR="005F5B5F" w:rsidRPr="005F5B5F" w:rsidRDefault="005F5B5F" w:rsidP="005F5B5F">
      <w:pPr>
        <w:ind w:firstLine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lastRenderedPageBreak/>
        <w:t>W pawilonie U-5 który jest obok wykonywanej inwestycji będzie można się wpiąć z własnym zestawem wodomierzowym oraz armaturą odcinającą. Pomiędzy AGH a Wykonawcą będzie podpisana umowa wg stawek za media obowiązujących w cenniku lokalnych dostawców mediów.</w:t>
      </w:r>
    </w:p>
    <w:p w:rsidR="005F5B5F" w:rsidRPr="005F5B5F" w:rsidRDefault="005F5B5F" w:rsidP="005F5B5F">
      <w:pPr>
        <w:ind w:firstLine="284"/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 xml:space="preserve">Wykonawca będzie zwracał AGH (miesięcznie z dołu) poniesione przez AGH koszty mediów na rzecz dostawców zgodnie z obowiązującymi taryfami cenowymi tych dostawców. Rozliczanie będzie odbywało się na podstawie wskazań </w:t>
      </w:r>
      <w:proofErr w:type="spellStart"/>
      <w:r w:rsidRPr="005F5B5F">
        <w:rPr>
          <w:rFonts w:ascii="Verdana" w:hAnsi="Verdana"/>
          <w:b/>
        </w:rPr>
        <w:t>sublicznika</w:t>
      </w:r>
      <w:proofErr w:type="spellEnd"/>
      <w:r w:rsidRPr="005F5B5F">
        <w:rPr>
          <w:rFonts w:ascii="Verdana" w:hAnsi="Verdana"/>
          <w:b/>
        </w:rPr>
        <w:t>.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</w:p>
    <w:p w:rsidR="005F5B5F" w:rsidRPr="005F5B5F" w:rsidRDefault="005F5B5F" w:rsidP="005F5B5F">
      <w:pPr>
        <w:numPr>
          <w:ilvl w:val="0"/>
          <w:numId w:val="3"/>
        </w:num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</w:rPr>
        <w:t>Czy oferta ma uwzględniać serwisowanie instalacji, urządzeń w okresie gwarancji i rękojmi? prosimy o wyjaśnienie.</w:t>
      </w:r>
    </w:p>
    <w:p w:rsidR="005F5B5F" w:rsidRDefault="005F5B5F" w:rsidP="005F5B5F">
      <w:pPr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Odp.: Cena oferty winna zawierać koszty wynikające z serwisowania instalacji i urządzeń w okresie gwarancji i rękojmi. Szczegółowy zakres czynności w okresie gwarancji i rękojmi określa SIWZ oraz wzór umowy wraz załącznikiem nr 1 „OŚWIADCZENIE GWARANCYJNE WYKONAWCY-GWARANTA”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</w:p>
    <w:p w:rsidR="005F5B5F" w:rsidRPr="005F5B5F" w:rsidRDefault="005F5B5F" w:rsidP="005F5B5F">
      <w:pPr>
        <w:numPr>
          <w:ilvl w:val="0"/>
          <w:numId w:val="3"/>
        </w:num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</w:rPr>
        <w:t>Czy materiały eksploatacyjne dla instalacji, urządzeń w okresie gwarancji i rękojmi należy ująć w ofercie?</w:t>
      </w:r>
    </w:p>
    <w:p w:rsidR="005F5B5F" w:rsidRPr="005F5B5F" w:rsidRDefault="005F5B5F" w:rsidP="005F5B5F">
      <w:pPr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Odp.: Cena oferty winna zawierać koszty wynikające z serwisowania instalacji i urządzeń w okresie gwarancji i rękojmi. Zgodnie z załącznikiem nr 1 do wzory umowy pt. „OŚWIADCZENIE GWARANCYJNE WYKONAWCY-GWARANTA” koszty tych czynności ponosi Wykonawca-Gwarant, a Zamawiający koszty materiałów eksploatacyjnych.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</w:rPr>
      </w:pPr>
    </w:p>
    <w:p w:rsidR="005F5B5F" w:rsidRPr="005F5B5F" w:rsidRDefault="005F5B5F" w:rsidP="005F5B5F">
      <w:pPr>
        <w:numPr>
          <w:ilvl w:val="0"/>
          <w:numId w:val="3"/>
        </w:num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</w:rPr>
        <w:t xml:space="preserve">Czy wykonanie </w:t>
      </w:r>
      <w:proofErr w:type="spellStart"/>
      <w:r w:rsidRPr="005F5B5F">
        <w:rPr>
          <w:rFonts w:ascii="Verdana" w:hAnsi="Verdana"/>
        </w:rPr>
        <w:t>mock-upów</w:t>
      </w:r>
      <w:proofErr w:type="spellEnd"/>
      <w:r w:rsidRPr="005F5B5F">
        <w:rPr>
          <w:rFonts w:ascii="Verdana" w:hAnsi="Verdana"/>
        </w:rPr>
        <w:t xml:space="preserve"> należy ująć w ofercie? – jeśli tak to prosimy o dostarczenie listy.</w:t>
      </w:r>
      <w:r w:rsidRPr="005F5B5F">
        <w:rPr>
          <w:rFonts w:ascii="Verdana" w:hAnsi="Verdana"/>
          <w:b/>
        </w:rPr>
        <w:t xml:space="preserve"> </w:t>
      </w:r>
    </w:p>
    <w:p w:rsidR="005F5B5F" w:rsidRPr="005F5B5F" w:rsidRDefault="005F5B5F" w:rsidP="005F5B5F">
      <w:pPr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 xml:space="preserve">Odp.: </w:t>
      </w:r>
      <w:r w:rsidR="00F13309">
        <w:rPr>
          <w:rFonts w:ascii="Verdana" w:hAnsi="Verdana"/>
          <w:b/>
        </w:rPr>
        <w:t>Zamawiający informuje, iż</w:t>
      </w:r>
      <w:r w:rsidRPr="005F5B5F">
        <w:rPr>
          <w:rFonts w:ascii="Verdana" w:hAnsi="Verdana"/>
          <w:b/>
        </w:rPr>
        <w:t xml:space="preserve"> nie trzeba wykonywać pokazowych pomieszczeń przed wykonaniem wszystkich prac.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  <w:highlight w:val="green"/>
        </w:rPr>
      </w:pPr>
    </w:p>
    <w:p w:rsidR="005F5B5F" w:rsidRPr="005F5B5F" w:rsidRDefault="005F5B5F" w:rsidP="005F5B5F">
      <w:pPr>
        <w:numPr>
          <w:ilvl w:val="0"/>
          <w:numId w:val="3"/>
        </w:num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</w:rPr>
        <w:t>Prosimy o dostarczenie rysunków w wersji DWG dla dokumentacji projektowej.</w:t>
      </w:r>
    </w:p>
    <w:p w:rsidR="005F5B5F" w:rsidRPr="005F5B5F" w:rsidRDefault="005F5B5F" w:rsidP="005F5B5F">
      <w:pPr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</w:t>
      </w:r>
      <w:r w:rsidRPr="005F5B5F">
        <w:rPr>
          <w:rFonts w:ascii="Verdana" w:hAnsi="Verdana"/>
          <w:b/>
        </w:rPr>
        <w:t xml:space="preserve">Na prośbę Wykonawcy Zamawiający udostępnia projekt wykonawczy w wersji edytowalnej (pliki DWG). </w:t>
      </w:r>
    </w:p>
    <w:p w:rsidR="005F5B5F" w:rsidRPr="005F5B5F" w:rsidRDefault="005F5B5F" w:rsidP="005F5B5F">
      <w:pPr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Rysunki w plikach edytowalnych należy traktować wyłącznie jako materiał pomocniczy.</w:t>
      </w:r>
    </w:p>
    <w:p w:rsidR="005F5B5F" w:rsidRPr="005F5B5F" w:rsidRDefault="00181EAD" w:rsidP="005F5B5F">
      <w:pPr>
        <w:contextualSpacing/>
        <w:jc w:val="both"/>
        <w:rPr>
          <w:rFonts w:ascii="Verdana" w:hAnsi="Verdana"/>
          <w:b/>
        </w:rPr>
      </w:pPr>
      <w:hyperlink r:id="rId9" w:history="1">
        <w:r w:rsidR="005F5B5F" w:rsidRPr="003E40FF">
          <w:rPr>
            <w:rStyle w:val="Hipercze"/>
            <w:rFonts w:ascii="Verdana" w:hAnsi="Verdana"/>
            <w:b/>
          </w:rPr>
          <w:t>http://di.adm.agh.edu.pl/przetargi/di/zj/Budowa-budynku-dla-WFiIS/PW-pliki-dwg_(material-pomocniczy).zip</w:t>
        </w:r>
      </w:hyperlink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</w:rPr>
      </w:pPr>
    </w:p>
    <w:p w:rsidR="005F5B5F" w:rsidRPr="005F5B5F" w:rsidRDefault="005F5B5F" w:rsidP="005F5B5F">
      <w:pPr>
        <w:numPr>
          <w:ilvl w:val="0"/>
          <w:numId w:val="3"/>
        </w:num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</w:rPr>
        <w:t>Prosimy o potwierdzenie iż należy w ofercie ująć podwójną izolację przeciwwodną podziemia: TBW + maty bentonitowe.</w:t>
      </w:r>
    </w:p>
    <w:p w:rsidR="005F5B5F" w:rsidRPr="005F5B5F" w:rsidRDefault="005F5B5F" w:rsidP="005F5B5F">
      <w:pPr>
        <w:contextualSpacing/>
        <w:jc w:val="both"/>
        <w:rPr>
          <w:rFonts w:ascii="Verdana" w:hAnsi="Verdana"/>
          <w:b/>
        </w:rPr>
      </w:pPr>
      <w:r w:rsidRPr="005F5B5F">
        <w:rPr>
          <w:rFonts w:ascii="Verdana" w:hAnsi="Verdana"/>
          <w:b/>
        </w:rPr>
        <w:t>Odp</w:t>
      </w:r>
      <w:r w:rsidR="00F13309">
        <w:rPr>
          <w:rFonts w:ascii="Verdana" w:hAnsi="Verdana"/>
          <w:b/>
        </w:rPr>
        <w:t>.</w:t>
      </w:r>
      <w:r w:rsidRPr="005F5B5F">
        <w:rPr>
          <w:rFonts w:ascii="Verdana" w:hAnsi="Verdana"/>
          <w:b/>
        </w:rPr>
        <w:t>: Tak, należy przyjąć dla większego bezpieczeństwa podwójną izolacje TBW + matę bentonitową</w:t>
      </w:r>
    </w:p>
    <w:p w:rsidR="005F5B5F" w:rsidRPr="005F5B5F" w:rsidRDefault="005F5B5F" w:rsidP="005F5B5F">
      <w:pPr>
        <w:ind w:left="284" w:hanging="284"/>
        <w:contextualSpacing/>
        <w:jc w:val="both"/>
        <w:rPr>
          <w:rFonts w:ascii="Verdana" w:hAnsi="Verdana"/>
          <w:b/>
          <w:highlight w:val="lightGray"/>
        </w:rPr>
      </w:pPr>
    </w:p>
    <w:p w:rsidR="005F5B5F" w:rsidRPr="005F5B5F" w:rsidRDefault="005F5B5F" w:rsidP="005F5B5F">
      <w:pPr>
        <w:numPr>
          <w:ilvl w:val="0"/>
          <w:numId w:val="3"/>
        </w:numPr>
        <w:ind w:left="284" w:hanging="284"/>
        <w:contextualSpacing/>
        <w:jc w:val="both"/>
        <w:rPr>
          <w:rFonts w:ascii="Verdana" w:hAnsi="Verdana"/>
        </w:rPr>
      </w:pPr>
      <w:r w:rsidRPr="005F5B5F">
        <w:rPr>
          <w:rFonts w:ascii="Verdana" w:hAnsi="Verdana"/>
        </w:rPr>
        <w:t>Prosimy o dostarczenie zestawienia stali konstrukcyjnej dla podkonstrukcji pod żaluzje techniczne na dachu.</w:t>
      </w:r>
    </w:p>
    <w:p w:rsidR="00181EAD" w:rsidRPr="00181EAD" w:rsidRDefault="005F5B5F" w:rsidP="00181EAD">
      <w:pPr>
        <w:contextualSpacing/>
        <w:rPr>
          <w:rFonts w:ascii="Verdana" w:hAnsi="Verdana"/>
          <w:b/>
        </w:rPr>
      </w:pPr>
      <w:r w:rsidRPr="005F5B5F">
        <w:rPr>
          <w:rFonts w:ascii="Verdana" w:hAnsi="Verdana"/>
          <w:b/>
        </w:rPr>
        <w:lastRenderedPageBreak/>
        <w:t>Odp</w:t>
      </w:r>
      <w:r>
        <w:rPr>
          <w:rFonts w:ascii="Verdana" w:hAnsi="Verdana"/>
          <w:b/>
        </w:rPr>
        <w:t>.</w:t>
      </w:r>
      <w:r w:rsidRPr="005F5B5F">
        <w:rPr>
          <w:rFonts w:ascii="Verdana" w:hAnsi="Verdana"/>
          <w:b/>
        </w:rPr>
        <w:t xml:space="preserve">: </w:t>
      </w:r>
      <w:r w:rsidR="00181EAD" w:rsidRPr="00181EAD">
        <w:rPr>
          <w:rFonts w:ascii="Verdana" w:hAnsi="Verdana"/>
          <w:b/>
        </w:rPr>
        <w:t>Zestawienie stali dla podkonstrukcji pod żaluzje techniczne na dachu zostało załączone w poniższym linku:</w:t>
      </w:r>
    </w:p>
    <w:p w:rsidR="005F5B5F" w:rsidRPr="005F5B5F" w:rsidRDefault="00181EAD" w:rsidP="005F5B5F">
      <w:pPr>
        <w:contextualSpacing/>
        <w:jc w:val="both"/>
        <w:rPr>
          <w:rFonts w:ascii="Verdana" w:hAnsi="Verdana"/>
          <w:b/>
        </w:rPr>
      </w:pPr>
      <w:hyperlink r:id="rId10" w:history="1">
        <w:r w:rsidRPr="00181EAD">
          <w:rPr>
            <w:rStyle w:val="Hipercze"/>
            <w:rFonts w:ascii="Verdana" w:hAnsi="Verdana"/>
            <w:b/>
          </w:rPr>
          <w:t>http://di.adm.agh.edu.pl/przetargi/di/zj/Budowa-budynku-dla-WFiIS/uzupelnione-w-trakcie-przetargu/</w:t>
        </w:r>
      </w:hyperlink>
      <w:bookmarkStart w:id="0" w:name="_GoBack"/>
      <w:bookmarkEnd w:id="0"/>
    </w:p>
    <w:p w:rsidR="000B7041" w:rsidRPr="005F5B5F" w:rsidRDefault="000B7041" w:rsidP="005F5B5F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</w:p>
    <w:p w:rsidR="006015C4" w:rsidRPr="005F5B5F" w:rsidRDefault="006015C4" w:rsidP="005F5B5F">
      <w:pPr>
        <w:pStyle w:val="Tekstpodstawowywcity3"/>
        <w:numPr>
          <w:ilvl w:val="0"/>
          <w:numId w:val="3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5F5B5F">
        <w:rPr>
          <w:rFonts w:ascii="Verdana" w:hAnsi="Verdana"/>
          <w:sz w:val="20"/>
        </w:rPr>
        <w:t>Na str. 40 SIWZ podano wymagany zakres ubezpieczenia. Prosimy o podanie limitu dla klauzuli nr 119 na jaki należy zabezpieczyć mienie istniejące.</w:t>
      </w:r>
    </w:p>
    <w:p w:rsidR="00AC4C10" w:rsidRPr="005F5B5F" w:rsidRDefault="000B7041" w:rsidP="005F5B5F">
      <w:pPr>
        <w:pStyle w:val="Tekstpodstawowywcity3"/>
        <w:spacing w:line="240" w:lineRule="auto"/>
        <w:ind w:left="284" w:hanging="284"/>
        <w:rPr>
          <w:rFonts w:ascii="Verdana" w:hAnsi="Verdana"/>
          <w:b/>
          <w:sz w:val="20"/>
        </w:rPr>
      </w:pPr>
      <w:r w:rsidRPr="005F5B5F">
        <w:rPr>
          <w:rFonts w:ascii="Verdana" w:hAnsi="Verdana"/>
          <w:b/>
          <w:sz w:val="20"/>
        </w:rPr>
        <w:t>Odp.: Zamawiający</w:t>
      </w:r>
      <w:r w:rsidRPr="005F5B5F">
        <w:rPr>
          <w:rFonts w:ascii="Verdana" w:hAnsi="Verdana"/>
          <w:sz w:val="20"/>
        </w:rPr>
        <w:t xml:space="preserve"> </w:t>
      </w:r>
      <w:r w:rsidRPr="005F5B5F">
        <w:rPr>
          <w:rFonts w:ascii="Verdana" w:hAnsi="Verdana"/>
          <w:b/>
          <w:sz w:val="20"/>
        </w:rPr>
        <w:t>nie wyznacza limitu dla klauzuli 119.</w:t>
      </w:r>
    </w:p>
    <w:p w:rsidR="005F5B5F" w:rsidRPr="005F5B5F" w:rsidRDefault="005F5B5F" w:rsidP="005F5B5F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</w:p>
    <w:p w:rsidR="006015C4" w:rsidRPr="005F5B5F" w:rsidRDefault="006015C4" w:rsidP="005F5B5F">
      <w:pPr>
        <w:pStyle w:val="Tekstpodstawowywcity3"/>
        <w:numPr>
          <w:ilvl w:val="0"/>
          <w:numId w:val="3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5F5B5F">
        <w:rPr>
          <w:rFonts w:ascii="Verdana" w:hAnsi="Verdana"/>
          <w:sz w:val="20"/>
        </w:rPr>
        <w:t>Czy ramach kontraktu należy skalkulować osobne ubezpieczenie OC dedykowane dla inwestycji?</w:t>
      </w:r>
    </w:p>
    <w:p w:rsidR="000B7041" w:rsidRPr="005F5B5F" w:rsidRDefault="000B7041" w:rsidP="005F5B5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F5B5F">
        <w:rPr>
          <w:rFonts w:ascii="Verdana" w:hAnsi="Verdana"/>
          <w:b/>
          <w:sz w:val="20"/>
        </w:rPr>
        <w:t>Odp.: Zamawiający</w:t>
      </w:r>
      <w:r w:rsidRPr="005F5B5F">
        <w:rPr>
          <w:rFonts w:ascii="Verdana" w:hAnsi="Verdana"/>
          <w:sz w:val="20"/>
        </w:rPr>
        <w:t xml:space="preserve"> </w:t>
      </w:r>
      <w:r w:rsidRPr="005F5B5F">
        <w:rPr>
          <w:rFonts w:ascii="Verdana" w:hAnsi="Verdana"/>
          <w:b/>
          <w:sz w:val="20"/>
        </w:rPr>
        <w:t>nie określa wymogu posiadania odrębnego ubezpieczenia OC dla inwestycji o ile posiadana polisa spełnia wymogi określone w SIWZ.</w:t>
      </w:r>
    </w:p>
    <w:p w:rsidR="000B7041" w:rsidRPr="005F5B5F" w:rsidRDefault="000B7041" w:rsidP="005F5B5F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</w:p>
    <w:p w:rsidR="0021206B" w:rsidRPr="005F5B5F" w:rsidRDefault="006015C4" w:rsidP="005F5B5F">
      <w:pPr>
        <w:pStyle w:val="Tekstpodstawowywcity3"/>
        <w:numPr>
          <w:ilvl w:val="0"/>
          <w:numId w:val="3"/>
        </w:numPr>
        <w:spacing w:line="240" w:lineRule="auto"/>
        <w:ind w:left="284" w:hanging="284"/>
        <w:rPr>
          <w:rFonts w:ascii="Verdana" w:hAnsi="Verdana"/>
          <w:sz w:val="20"/>
        </w:rPr>
      </w:pPr>
      <w:r w:rsidRPr="005F5B5F">
        <w:rPr>
          <w:rFonts w:ascii="Verdana" w:hAnsi="Verdana"/>
          <w:sz w:val="20"/>
        </w:rPr>
        <w:t>Czy polisa OC ma być zawarta tylko na czas realizacji budowy czy też ma również obowiązywać przez okres gwarancji na roboty budowlane 36-60 miesięcy? – prosimy o wyjaśnienie.</w:t>
      </w:r>
    </w:p>
    <w:p w:rsidR="0021206B" w:rsidRPr="005F5B5F" w:rsidRDefault="0021206B" w:rsidP="005F5B5F">
      <w:pPr>
        <w:pStyle w:val="Tekstpodstawowywcity3"/>
        <w:spacing w:line="240" w:lineRule="auto"/>
        <w:ind w:left="284" w:hanging="284"/>
        <w:rPr>
          <w:rFonts w:ascii="Verdana" w:hAnsi="Verdana"/>
          <w:b/>
          <w:sz w:val="20"/>
          <w:u w:val="single"/>
        </w:rPr>
      </w:pPr>
    </w:p>
    <w:p w:rsidR="0021206B" w:rsidRPr="005F5B5F" w:rsidRDefault="000B7041" w:rsidP="005F5B5F">
      <w:pPr>
        <w:jc w:val="both"/>
        <w:rPr>
          <w:rFonts w:ascii="Verdana" w:hAnsi="Verdana"/>
        </w:rPr>
      </w:pPr>
      <w:r w:rsidRPr="005F5B5F">
        <w:rPr>
          <w:rFonts w:ascii="Verdana" w:hAnsi="Verdana"/>
          <w:b/>
        </w:rPr>
        <w:t>Odp.: Polisa OC winna obowiązywać do czasu uzyskania odbioru końcowego obiektu.</w:t>
      </w:r>
    </w:p>
    <w:p w:rsidR="0021206B" w:rsidRPr="00315D72" w:rsidRDefault="0021206B" w:rsidP="006015C4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FFD" w:rsidRDefault="00A50FFD">
      <w:r>
        <w:separator/>
      </w:r>
    </w:p>
  </w:endnote>
  <w:endnote w:type="continuationSeparator" w:id="0">
    <w:p w:rsidR="00A50FFD" w:rsidRDefault="00A50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81EA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FFD" w:rsidRDefault="00A50FFD">
      <w:r>
        <w:separator/>
      </w:r>
    </w:p>
  </w:footnote>
  <w:footnote w:type="continuationSeparator" w:id="0">
    <w:p w:rsidR="00A50FFD" w:rsidRDefault="00A50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C55" w:rsidRDefault="00B67C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181EA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81EA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C3D22"/>
    <w:multiLevelType w:val="hybridMultilevel"/>
    <w:tmpl w:val="DEE0C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92584"/>
    <w:multiLevelType w:val="hybridMultilevel"/>
    <w:tmpl w:val="8D6E3684"/>
    <w:lvl w:ilvl="0" w:tplc="6366B6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92B5474"/>
    <w:multiLevelType w:val="hybridMultilevel"/>
    <w:tmpl w:val="722C7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FFD"/>
    <w:rsid w:val="000607BF"/>
    <w:rsid w:val="000A2D5C"/>
    <w:rsid w:val="000B7041"/>
    <w:rsid w:val="000C4220"/>
    <w:rsid w:val="000D254E"/>
    <w:rsid w:val="001102A4"/>
    <w:rsid w:val="00130D1C"/>
    <w:rsid w:val="00180DBD"/>
    <w:rsid w:val="00181EAD"/>
    <w:rsid w:val="0021206B"/>
    <w:rsid w:val="00225288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5E7D20"/>
    <w:rsid w:val="005F5B5F"/>
    <w:rsid w:val="006015C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50FFD"/>
    <w:rsid w:val="00AC4C10"/>
    <w:rsid w:val="00B67C55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13309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81EA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3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dla-WFiIS/uzupelnione-w-trakcie-przetarg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di.adm.agh.edu.pl/przetargi/di/zj/Budowa-budynku-dla-WFiIS/uzupelnione-w-trakcie-przetarg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.adm.agh.edu.pl/przetargi/di/zj/Budowa-budynku-dla-WFiIS/PW-pliki-dwg_(material-pomocniczy).zip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4</Pages>
  <Words>917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10</cp:revision>
  <cp:lastPrinted>2019-05-06T06:04:00Z</cp:lastPrinted>
  <dcterms:created xsi:type="dcterms:W3CDTF">2019-04-25T06:11:00Z</dcterms:created>
  <dcterms:modified xsi:type="dcterms:W3CDTF">2019-05-06T10:37:00Z</dcterms:modified>
</cp:coreProperties>
</file>